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0"/>
        <w:jc w:val="center"/>
        <w:rPr>
          <w:rFonts w:ascii="方正小标宋_GBK" w:eastAsia="方正小标宋_GBK"/>
          <w:b/>
          <w:bCs/>
          <w:i w:val="0"/>
          <w:iCs w:val="0"/>
          <w:caps w:val="0"/>
          <w:smallCaps w:val="0"/>
          <w:vanish w:val="0"/>
          <w:spacing w:val="2"/>
          <w:sz w:val="44"/>
          <w:szCs w:val="44"/>
          <w:vertAlign w:val="baseline"/>
        </w:rPr>
      </w:pP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0"/>
        <w:jc w:val="center"/>
        <w:rPr>
          <w:rFonts w:ascii="方正小标宋_GBK" w:eastAsia="方正小标宋_GBK"/>
          <w:b/>
          <w:bCs/>
          <w:i w:val="0"/>
          <w:iCs w:val="0"/>
          <w:caps w:val="0"/>
          <w:smallCaps w:val="0"/>
          <w:vanish w:val="0"/>
          <w:spacing w:val="2"/>
          <w:sz w:val="44"/>
          <w:szCs w:val="44"/>
          <w:vertAlign w:val="baseline"/>
        </w:rPr>
      </w:pP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0"/>
        <w:jc w:val="center"/>
        <w:rPr>
          <w:rFonts w:ascii="方正小标宋_GBK" w:eastAsia="方正小标宋_GBK"/>
          <w:b/>
          <w:bCs/>
          <w:i w:val="0"/>
          <w:iCs w:val="0"/>
          <w:caps w:val="0"/>
          <w:smallCaps w:val="0"/>
          <w:vanish w:val="0"/>
          <w:spacing w:val="2"/>
          <w:sz w:val="44"/>
          <w:szCs w:val="44"/>
          <w:vertAlign w:val="baseline"/>
        </w:rPr>
      </w:pP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0"/>
        <w:jc w:val="center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44"/>
          <w:szCs w:val="44"/>
        </w:rPr>
      </w:pPr>
      <w:r>
        <w:rPr>
          <w:rFonts w:ascii="方正小标宋_GBK" w:eastAsia="方正小标宋_GBK"/>
          <w:b w:val="0"/>
          <w:bCs w:val="0"/>
          <w:i w:val="0"/>
          <w:iCs w:val="0"/>
          <w:caps w:val="0"/>
          <w:smallCaps w:val="0"/>
          <w:vanish w:val="0"/>
          <w:spacing w:val="2"/>
          <w:sz w:val="44"/>
          <w:szCs w:val="44"/>
          <w:vertAlign w:val="baseline"/>
        </w:rPr>
        <w:t>关</w:t>
      </w:r>
      <w:r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vanish w:val="0"/>
          <w:spacing w:val="2"/>
          <w:sz w:val="44"/>
          <w:szCs w:val="44"/>
          <w:vertAlign w:val="baseline"/>
        </w:rPr>
        <w:t>于印发《平山县第</w:t>
      </w:r>
      <w:r>
        <w:rPr>
          <w:rFonts w:ascii="Lucida Sans" w:eastAsia="方正小标宋_GBK" w:hAnsi="Lucida Sans" w:hint="eastAsia"/>
          <w:b w:val="0"/>
          <w:bCs w:val="0"/>
          <w:i w:val="0"/>
          <w:iCs w:val="0"/>
          <w:caps w:val="0"/>
          <w:smallCaps w:val="0"/>
          <w:vanish w:val="0"/>
          <w:spacing w:val="2"/>
          <w:sz w:val="44"/>
          <w:szCs w:val="44"/>
          <w:vertAlign w:val="baseline"/>
          <w:lang w:eastAsia="zh-CN"/>
        </w:rPr>
        <w:t>十八</w:t>
      </w:r>
      <w:r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vanish w:val="0"/>
          <w:spacing w:val="2"/>
          <w:sz w:val="44"/>
          <w:szCs w:val="44"/>
          <w:vertAlign w:val="baseline"/>
        </w:rPr>
        <w:t>次（自然资源和规划局）202</w:t>
      </w:r>
      <w:r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vanish w:val="0"/>
          <w:spacing w:val="2"/>
          <w:sz w:val="44"/>
          <w:szCs w:val="44"/>
          <w:vertAlign w:val="baseline"/>
          <w:lang w:val="en-US" w:eastAsia="zh-CN"/>
        </w:rPr>
        <w:t>6</w:t>
      </w:r>
      <w:r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vanish w:val="0"/>
          <w:spacing w:val="2"/>
          <w:sz w:val="44"/>
          <w:szCs w:val="44"/>
          <w:vertAlign w:val="baseline"/>
        </w:rPr>
        <w:t>年“双随机、一公开”跨部门联合抽查实施方案》的通知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20"/>
          <w:szCs w:val="20"/>
        </w:rPr>
      </w:pPr>
      <w:r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20"/>
          <w:szCs w:val="20"/>
        </w:rPr>
        <w:t> 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仿宋" w:eastAsia="仿宋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县</w:t>
      </w: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自然资源和规划局、市场监管局：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现将《平山县第</w:t>
      </w: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  <w:lang w:eastAsia="zh-CN"/>
        </w:rPr>
        <w:t>十八</w:t>
      </w: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次（自然资源和规划局）202</w:t>
      </w: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  <w:lang w:val="en-US" w:eastAsia="zh-CN"/>
        </w:rPr>
        <w:t>6</w:t>
      </w: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年“双随机、一公开”跨部门联合抽查实施方案》印发给你们，请结合本部门实际认真组织实施。</w:t>
      </w:r>
    </w:p>
    <w:p>
      <w:pPr>
        <w:pStyle w:val="15"/>
        <w:shd w:val="clear" w:color="auto" w:fill="FFFFFF"/>
        <w:spacing w:before="0" w:beforeAutospacing="0" w:after="0" w:afterAutospacing="0" w:line="640" w:lineRule="exact"/>
        <w:ind w:left="0" w:firstLine="640"/>
        <w:jc w:val="right"/>
        <w:rPr>
          <w:rFonts w:ascii="Lucida Sans" w:eastAsia="微软雅黑" w:hAnsi="Lucida Sans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Calibri" w:eastAsia="微软雅黑" w:hAnsi="Calibri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  <w:t>  </w:t>
      </w:r>
    </w:p>
    <w:p>
      <w:pPr>
        <w:pStyle w:val="15"/>
        <w:shd w:val="clear" w:color="auto" w:fill="FFFFFF"/>
        <w:spacing w:before="0" w:beforeAutospacing="0" w:after="0" w:afterAutospacing="0" w:line="640" w:lineRule="exact"/>
        <w:ind w:left="0" w:firstLine="640"/>
        <w:jc w:val="right"/>
        <w:rPr>
          <w:rFonts w:ascii="Lucida Sans" w:eastAsia="微软雅黑" w:hAnsi="Lucida Sans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</w:p>
    <w:p>
      <w:pPr>
        <w:pStyle w:val="15"/>
        <w:shd w:val="clear" w:color="auto" w:fill="FFFFFF"/>
        <w:spacing w:before="0" w:beforeAutospacing="0" w:after="0" w:afterAutospacing="0" w:line="640" w:lineRule="exact"/>
        <w:ind w:left="0" w:firstLine="640"/>
        <w:jc w:val="right"/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</w:pP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平山县“双随机、一公开”监管</w:t>
      </w:r>
    </w:p>
    <w:p>
      <w:pPr>
        <w:pStyle w:val="15"/>
        <w:shd w:val="clear" w:color="auto" w:fill="FFFFFF"/>
        <w:spacing w:before="0" w:beforeAutospacing="0" w:after="0" w:afterAutospacing="0" w:line="640" w:lineRule="exact"/>
        <w:ind w:left="0" w:firstLine="640"/>
        <w:jc w:val="righ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  <w:lang w:val="en-US" w:eastAsia="zh-CN"/>
        </w:rPr>
        <w:t xml:space="preserve">                        </w:t>
      </w: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工作领导小组办公室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righ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Calibri" w:eastAsia="微软雅黑" w:hAnsi="Calibri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  <w:t>                                           </w:t>
      </w: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202</w:t>
      </w: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  <w:lang w:val="en-US" w:eastAsia="zh-CN"/>
        </w:rPr>
        <w:t>6</w:t>
      </w: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年</w:t>
      </w: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  <w:lang w:val="en-US" w:eastAsia="zh-CN"/>
        </w:rPr>
        <w:t>7月22</w:t>
      </w: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日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20"/>
          <w:szCs w:val="20"/>
        </w:rPr>
      </w:pPr>
      <w:r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20"/>
          <w:szCs w:val="20"/>
        </w:rPr>
        <w:t> 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20"/>
          <w:szCs w:val="20"/>
        </w:rPr>
      </w:pPr>
      <w:r>
        <w:rPr>
          <w:rFonts w:ascii="Calibri" w:eastAsia="微软雅黑" w:hAnsi="Calibri"/>
          <w:b w:val="0"/>
          <w:bCs w:val="0"/>
          <w:i w:val="0"/>
          <w:iCs w:val="0"/>
          <w:caps w:val="0"/>
          <w:smallCaps w:val="0"/>
          <w:vanish w:val="0"/>
          <w:spacing w:val="0"/>
          <w:sz w:val="24"/>
          <w:szCs w:val="24"/>
        </w:rPr>
        <w:t> 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20"/>
          <w:szCs w:val="20"/>
        </w:rPr>
      </w:pPr>
      <w:r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20"/>
          <w:szCs w:val="20"/>
        </w:rPr>
        <w:t> 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20"/>
          <w:szCs w:val="20"/>
        </w:rPr>
      </w:pPr>
      <w:r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20"/>
          <w:szCs w:val="20"/>
        </w:rPr>
        <w:t> 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0"/>
        <w:jc w:val="center"/>
        <w:rPr>
          <w:rFonts w:ascii="方正小标宋_GBK" w:eastAsia="方正小标宋_GBK"/>
          <w:b w:val="0"/>
          <w:bCs w:val="0"/>
          <w:i w:val="0"/>
          <w:iCs w:val="0"/>
          <w:caps w:val="0"/>
          <w:smallCaps w:val="0"/>
          <w:vanish w:val="0"/>
          <w:spacing w:val="0"/>
          <w:sz w:val="44"/>
          <w:szCs w:val="44"/>
          <w:vertAlign w:val="baseline"/>
        </w:rPr>
      </w:pPr>
      <w:r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44"/>
          <w:szCs w:val="44"/>
          <w:vertAlign w:val="baseline"/>
        </w:rPr>
        <w:t>平山县第</w:t>
      </w:r>
      <w:r>
        <w:rPr>
          <w:rFonts w:ascii="Lucida Sans" w:eastAsia="方正小标宋_GBK" w:hAnsi="Lucida Sans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44"/>
          <w:szCs w:val="44"/>
          <w:vertAlign w:val="baseline"/>
          <w:lang w:eastAsia="zh-CN"/>
        </w:rPr>
        <w:t>十八</w:t>
      </w:r>
      <w:r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44"/>
          <w:szCs w:val="44"/>
          <w:vertAlign w:val="baseline"/>
        </w:rPr>
        <w:t>次（自然资源和规划局）202</w:t>
      </w:r>
      <w:r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44"/>
          <w:szCs w:val="44"/>
          <w:vertAlign w:val="baseline"/>
          <w:lang w:val="en-US" w:eastAsia="zh-CN"/>
        </w:rPr>
        <w:t>6</w:t>
      </w:r>
      <w:r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44"/>
          <w:szCs w:val="44"/>
          <w:vertAlign w:val="baseline"/>
        </w:rPr>
        <w:t>年“双随机、一公开”跨部门联合抽查实施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0"/>
        <w:jc w:val="center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44"/>
          <w:szCs w:val="44"/>
        </w:rPr>
      </w:pPr>
      <w:r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44"/>
          <w:szCs w:val="44"/>
          <w:vertAlign w:val="baseline"/>
        </w:rPr>
        <w:t>方</w:t>
      </w:r>
      <w:r>
        <w:rPr>
          <w:rFonts w:ascii="Lucida Sans" w:eastAsia="方正小标宋_GBK" w:hAnsi="Lucida Sans"/>
          <w:b w:val="0"/>
          <w:bCs w:val="0"/>
          <w:i w:val="0"/>
          <w:iCs w:val="0"/>
          <w:caps w:val="0"/>
          <w:smallCaps w:val="0"/>
          <w:vanish w:val="0"/>
          <w:spacing w:val="0"/>
          <w:sz w:val="44"/>
          <w:szCs w:val="44"/>
          <w:vertAlign w:val="baseline"/>
        </w:rPr>
        <w:t xml:space="preserve">  </w:t>
      </w:r>
      <w:r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44"/>
          <w:szCs w:val="44"/>
          <w:vertAlign w:val="baseline"/>
        </w:rPr>
        <w:t>案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0"/>
        <w:jc w:val="center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20"/>
          <w:szCs w:val="20"/>
        </w:rPr>
      </w:pPr>
      <w:r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20"/>
          <w:szCs w:val="20"/>
        </w:rPr>
        <w:t> 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为深入推进“双随机、一公开”监管与企业信用风险分级分类监管有机结合，提高双随机抽查的精准性和靶向性，根据《平山县202</w:t>
      </w: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  <w:lang w:val="en-US" w:eastAsia="zh-CN"/>
        </w:rPr>
        <w:t>6</w:t>
      </w: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年“双随机、一公开”监管工作实施方案》、《平山县202</w:t>
      </w: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  <w:lang w:val="en-US" w:eastAsia="zh-CN"/>
        </w:rPr>
        <w:t>6</w:t>
      </w: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年度随机抽查工作计划》要求，组织开展202</w:t>
      </w: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  <w:lang w:val="en-US" w:eastAsia="zh-CN"/>
        </w:rPr>
        <w:t>6</w:t>
      </w: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年第</w:t>
      </w: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  <w:lang w:eastAsia="zh-CN"/>
        </w:rPr>
        <w:t>十八</w:t>
      </w:r>
      <w:r>
        <w:rPr>
          <w:rFonts w:ascii="仿宋" w:eastAsia="仿宋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 xml:space="preserve">   </w:t>
      </w: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次跨部门“双随机、一公开”联合抽查，特制定本方案。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方正黑体_GBK" w:eastAsia="方正黑体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一、时间安排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/>
          <w:bCs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仿宋" w:eastAsia="仿宋" w:hint="eastAsia"/>
          <w:b/>
          <w:bCs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202</w:t>
      </w:r>
      <w:r>
        <w:rPr>
          <w:rFonts w:ascii="仿宋" w:eastAsia="仿宋" w:hint="eastAsia"/>
          <w:b/>
          <w:bCs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  <w:lang w:val="en-US" w:eastAsia="zh-CN"/>
        </w:rPr>
        <w:t>6</w:t>
      </w:r>
      <w:r>
        <w:rPr>
          <w:rFonts w:ascii="仿宋" w:eastAsia="仿宋" w:hint="eastAsia"/>
          <w:b/>
          <w:bCs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年</w:t>
      </w:r>
      <w:r>
        <w:rPr>
          <w:rFonts w:ascii="仿宋" w:eastAsia="仿宋" w:hint="eastAsia"/>
          <w:b/>
          <w:bCs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  <w:lang w:val="en-US" w:eastAsia="zh-CN"/>
        </w:rPr>
        <w:t>7</w:t>
      </w:r>
      <w:r>
        <w:rPr>
          <w:rFonts w:ascii="仿宋" w:eastAsia="仿宋" w:hint="eastAsia"/>
          <w:b/>
          <w:bCs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月</w:t>
      </w:r>
      <w:r>
        <w:rPr>
          <w:rFonts w:ascii="仿宋" w:eastAsia="仿宋" w:hint="eastAsia"/>
          <w:b/>
          <w:bCs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  <w:lang w:val="en-US" w:eastAsia="zh-CN"/>
        </w:rPr>
        <w:t>22</w:t>
      </w:r>
      <w:r>
        <w:rPr>
          <w:rFonts w:ascii="仿宋" w:eastAsia="仿宋" w:hint="eastAsia"/>
          <w:b/>
          <w:bCs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日至</w:t>
      </w:r>
      <w:r>
        <w:rPr>
          <w:rFonts w:ascii="仿宋" w:eastAsia="仿宋" w:hint="eastAsia"/>
          <w:b/>
          <w:bCs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  <w:lang w:val="en-US" w:eastAsia="zh-CN"/>
        </w:rPr>
        <w:t>8</w:t>
      </w:r>
      <w:r>
        <w:rPr>
          <w:rFonts w:ascii="仿宋" w:eastAsia="仿宋" w:hint="eastAsia"/>
          <w:b/>
          <w:bCs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月</w:t>
      </w:r>
      <w:r>
        <w:rPr>
          <w:rFonts w:ascii="仿宋" w:eastAsia="仿宋" w:hint="eastAsia"/>
          <w:b/>
          <w:bCs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  <w:lang w:val="en-US" w:eastAsia="zh-CN"/>
        </w:rPr>
        <w:t>31</w:t>
      </w:r>
      <w:r>
        <w:rPr>
          <w:rFonts w:ascii="仿宋" w:eastAsia="仿宋" w:hint="eastAsia"/>
          <w:b/>
          <w:bCs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日。</w:t>
      </w:r>
    </w:p>
    <w:p>
      <w:pPr>
        <w:pStyle w:val="15"/>
        <w:shd w:val="clear" w:color="auto" w:fill="FFFFFF"/>
        <w:spacing w:before="0" w:beforeAutospacing="0" w:after="0" w:afterAutospacing="0" w:line="640" w:lineRule="exact"/>
        <w:ind w:left="0" w:firstLine="640"/>
        <w:rPr>
          <w:rFonts w:ascii="方正黑体_GBK" w:eastAsia="方正黑体_GBK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</w:pPr>
      <w:r>
        <w:rPr>
          <w:rFonts w:ascii="方正黑体_GBK" w:eastAsia="方正黑体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二、抽查事项内容</w:t>
      </w:r>
    </w:p>
    <w:p>
      <w:pPr>
        <w:pStyle w:val="15"/>
        <w:shd w:val="clear" w:color="auto" w:fill="FFFFFF"/>
        <w:spacing w:before="0" w:beforeAutospacing="0" w:after="0" w:afterAutospacing="0" w:line="640" w:lineRule="exact"/>
        <w:ind w:firstLineChars="200" w:firstLine="640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国标仿宋" w:eastAsia="国标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shd w:val="clear" w:color="auto" w:fill="FFFFFF"/>
          <w:vertAlign w:val="baseline"/>
        </w:rPr>
        <w:t>自然资源部门：公示信息抽查、测绘行业监督检查、地质勘查行业监督检查、城乡规划编制单位乙级资质监督检查、地质勘查行业监督检查、海域使用监督检查、地理信息管理综合检查、矿山地质环境保护与土地复垦监督检查、土地复垦监督检查</w:t>
      </w:r>
      <w:r>
        <w:rPr>
          <w:rFonts w:ascii="国标仿宋" w:eastAsia="国标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shd w:val="clear" w:color="auto" w:fill="FFFFFF"/>
          <w:vertAlign w:val="baseline"/>
          <w:lang w:eastAsia="zh-CN"/>
        </w:rPr>
        <w:t>、</w:t>
      </w:r>
      <w:r>
        <w:rPr>
          <w:rFonts w:ascii="国标仿宋" w:eastAsia="国标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shd w:val="clear" w:color="auto" w:fill="FFFFFF"/>
          <w:vertAlign w:val="baseline"/>
        </w:rPr>
        <w:t>地理信息管理综合检查。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市场监管部门：登记事项检查、公示信息检查。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方正黑体_GBK" w:eastAsia="方正黑体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三、抽查对象范围及比例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1、抽查对象范围：定向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480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  2、抽取比例：抽查比例不低于5%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方正黑体_GBK" w:eastAsia="方正黑体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四、名单抽取及派发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</w:pP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1、县“双随机、一公开”监管工作领导小组办公室通过“河北省双随机监管工作平台”从检查对象名录库抽取确定被检查对象，由“河北省双随机监管工作平台”自动派发到各监管单位，由各单位的管理员在两个工作日内完成比对和确认。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2、各监管单位通过“河北省双随机监管工作平台”对被检查对象进行认领，从执法人员名录库中随机抽取执法检查人员进行匹配编组。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3、被检查对象和检查人员确定后，由“河北省双随机监管工作平台”随机匹配，自动生成一户企业一份随机抽查联合检查记录表（简称“一企一表”），并自动派发到执法检查人员，实施检查。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方正黑体_GBK" w:eastAsia="方正黑体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五、组织实施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楷体" w:eastAsia="楷体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1、任务分工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1.本次联合抽查由县自然资源和规划局牵头，纳入跨部门“双随机、一公开”联合抽查的县有关部门为：市场监管局。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2.随机抽取的执法人员，无法独立完成专业抽查事项的，由执法检查人员所在部门选派专业人员协助指导完成工作。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3.分派给各部门的检查对象本级没有执法权的，由上级部门授权检查，下级没有对应检查人员的由县级选派人员参加县检查组。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楷体" w:eastAsia="楷体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2、检查方式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1.现场检查一般采取信息比对、实地核查等方法；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2.对企业进行实地核查时，应当出示相应证件，检查人员应当填写“一企一表”，并由被检查企业法定代表人签字或盖章确认；被检查对象拒绝签字的应当在“一企一表”上如实记录。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楷体" w:eastAsia="楷体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3、抽查结果公示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执法检查人员要自完成“双随机、一公开”联合抽查工作结束之日起20个工作日内，在“河北省双随机监管工作平台”完成录入、审核，抽查结果由系统完成数据交换自动归集到市场主体名下，通过“河北省双随机监管工作平台”自动交换到“国家市场主体信用信息公示系统”（河北）向社会公示。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楷体" w:eastAsia="楷体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4、后续结果处置。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根据职责和管辖权限，对检查中发现的违法线索，及时依法处理或移交有关部门，并将后续处置结果录入“河北省双随机监管工作平台”中“后续处置”模块，确保后续监管到位，形成监管闭环。</w:t>
      </w:r>
    </w:p>
    <w:p>
      <w:pPr>
        <w:pStyle w:val="1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640" w:lineRule="exact"/>
        <w:ind w:left="0" w:right="0" w:firstLine="640"/>
        <w:jc w:val="left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方正黑体_GBK" w:eastAsia="方正黑体_GBK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六、工作要求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line="640" w:lineRule="exact"/>
        <w:ind w:left="0" w:right="0" w:firstLine="640"/>
        <w:rPr>
          <w:rFonts w:ascii="微软雅黑" w:eastAsia="微软雅黑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</w:rPr>
      </w:pPr>
      <w:r>
        <w:rPr>
          <w:rFonts w:ascii="楷体" w:eastAsia="楷体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1、提高思想认识，加强组织领导。</w:t>
      </w: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切实提高政治站位、工作站位，深刻认识“双随机、一公开”工作的重要性，持续完善工作机制，认真研究制定工作方案，细化量化工作目标，优化创新工作举措，上下联运、内部联合、紧盯目标、 精准发力、抓好落实，高标准、高质量、高效率地完成全年工作任务。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line="640" w:lineRule="exact"/>
        <w:ind w:left="0" w:right="0" w:firstLine="640"/>
        <w:rPr>
          <w:rFonts w:ascii="仿宋" w:eastAsia="仿宋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</w:pPr>
      <w:r>
        <w:rPr>
          <w:rFonts w:ascii="楷体" w:eastAsia="楷体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2、强化日常督导，确保工作成效。</w:t>
      </w:r>
      <w:r>
        <w:rPr>
          <w:rFonts w:ascii="仿宋" w:eastAsia="仿宋" w:hint="eastAsia"/>
          <w:b w:val="0"/>
          <w:bCs w:val="0"/>
          <w:i w:val="0"/>
          <w:iCs w:val="0"/>
          <w:caps w:val="0"/>
          <w:smallCaps w:val="0"/>
          <w:vanish w:val="0"/>
          <w:spacing w:val="0"/>
          <w:sz w:val="32"/>
          <w:szCs w:val="32"/>
          <w:vertAlign w:val="baseline"/>
        </w:rPr>
        <w:t>追根溯源，查漏补缺，针对自身薄弱 环节，补齐短板，整改到位，切实提高“双随机、一公开”工作的规范化水平。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line="640" w:lineRule="exact"/>
        <w:ind w:right="0"/>
        <w:rPr>
          <w:sz w:val="32"/>
          <w:szCs w:val="32"/>
        </w:rPr>
      </w:pPr>
    </w:p>
    <w:sectPr>
      <w:footerReference w:type="default" r:id="rId2"/>
      <w:footerReference w:type="even" r:id="rId3"/>
      <w:footerReference w:type="first" r:id="rId4"/>
      <w:pgSz w:w="11907" w:h="16839"/>
      <w:pgMar w:top="2098" w:right="1474" w:bottom="1985" w:left="1588" w:header="851" w:footer="992" w:gutter="0"/>
      <w:pgNumType/>
      <w:cols w:num="1" w:space="425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Lucida Sans">
    <w:altName w:val="DejaVu Sans"/>
    <w:panose1 w:val="020B0602030504020204"/>
    <w:charset w:val="00"/>
    <w:family w:val="auto"/>
    <w:pitch w:val="variable"/>
    <w:sig w:usb0="00000000" w:usb1="00000000" w:usb2="00000000" w:usb3="00000000" w:csb0="20000001" w:csb1="00000000"/>
  </w:font>
  <w:font w:name="微软雅黑">
    <w:altName w:val="方正小标宋简体"/>
    <w:panose1 w:val="020B0503020204020204"/>
    <w:charset w:val="86"/>
    <w:family w:val="auto"/>
    <w:pitch w:val="variable"/>
    <w:sig w:usb0="80000287" w:usb1="280F3C52" w:usb2="00000016" w:usb3="00000000" w:csb0="0004001F" w:csb1="00000000"/>
  </w:font>
  <w:font w:name="仿宋">
    <w:altName w:val="仿宋_GB2312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方正黑体_GBK">
    <w:altName w:val="微软雅黑"/>
    <w:panose1 w:val="02000000000000000000"/>
    <w:charset w:val="86"/>
    <w:family w:val="script"/>
    <w:pitch w:val="variable"/>
    <w:sig w:usb0="00000000" w:usb1="00000000" w:usb2="00082016" w:usb3="00000000" w:csb0="00040001" w:csb1="00000000"/>
  </w:font>
  <w:font w:name="国标仿宋">
    <w:altName w:val="仿宋"/>
    <w:panose1 w:val="02000500000000000000"/>
    <w:charset w:val="86"/>
    <w:family w:val="script"/>
    <w:pitch w:val="variable"/>
    <w:sig w:usb0="00000000" w:usb1="00000000" w:usb2="00000016" w:usb3="00000000" w:csb0="00060007" w:csb1="00000000"/>
  </w:font>
  <w:font w:name="楷体">
    <w:altName w:val="方正楷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文泉驿微米黑">
    <w:panose1 w:val="020B0606030804020204"/>
    <w:charset w:val="86"/>
    <w:family w:val="auto"/>
    <w:pitch w:val="variable"/>
    <w:sig w:usb0="E10002EF" w:usb1="6BDFFCFB" w:usb2="00800036" w:usb3="00000000" w:csb0="603E019F" w:csb1="DFD7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34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  <w:rPr>
        <w:sz w:val="24"/>
        <w:szCs w:val="24"/>
      </w:rPr>
    </w:pPr>
    <w:r>
      <w:rPr>
        <w:rStyle w:val="43"/>
        <w:sz w:val="24"/>
        <w:szCs w:val="24"/>
      </w:rPr>
      <w:fldChar w:fldCharType="begin"/>
    </w:r>
    <w:r>
      <w:rPr>
        <w:rStyle w:val="43"/>
        <w:sz w:val="24"/>
        <w:szCs w:val="24"/>
      </w:rPr>
      <w:instrText>Page</w:instrText>
    </w:r>
    <w:r>
      <w:rPr>
        <w:rStyle w:val="43"/>
        <w:sz w:val="24"/>
        <w:szCs w:val="24"/>
      </w:rPr>
      <w:fldChar w:fldCharType="separate"/>
    </w:r>
    <w:r>
      <w:rPr>
        <w:rStyle w:val="43"/>
        <w:sz w:val="24"/>
        <w:szCs w:val="24"/>
      </w:rPr>
      <w:t>1</w:t>
    </w:r>
    <w:r>
      <w:rPr>
        <w:rStyle w:val="43"/>
        <w:sz w:val="24"/>
        <w:szCs w:val="24"/>
      </w:rPr>
      <w:fldChar w:fldCharType="end"/>
    </w:r>
  </w:p>
  <w:p>
    <w:pPr>
      <w:pStyle w:val="34"/>
      <w:tabs>
        <w:tab w:val="center" w:pos="4153"/>
        <w:tab w:val="right" w:pos="8307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34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43"/>
      </w:rPr>
      <w:fldChar w:fldCharType="begin"/>
    </w:r>
    <w:r>
      <w:rPr>
        <w:rStyle w:val="43"/>
      </w:rPr>
      <w:instrText>Page</w:instrText>
    </w:r>
    <w:r>
      <w:rPr>
        <w:rStyle w:val="43"/>
      </w:rPr>
      <w:fldChar w:fldCharType="separate"/>
    </w:r>
    <w:r>
      <w:rPr>
        <w:rStyle w:val="43"/>
      </w:rPr>
      <w:t>1</w:t>
    </w:r>
    <w:r>
      <w:rPr>
        <w:rStyle w:val="43"/>
      </w:rPr>
      <w:fldChar w:fldCharType="end"/>
    </w:r>
  </w:p>
  <w:p>
    <w:pPr>
      <w:pStyle w:val="34"/>
      <w:tabs>
        <w:tab w:val="center" w:pos="4153"/>
        <w:tab w:val="right" w:pos="8307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34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43"/>
      </w:rPr>
      <w:fldChar w:fldCharType="begin"/>
    </w:r>
    <w:r>
      <w:rPr>
        <w:rStyle w:val="43"/>
      </w:rPr>
      <w:instrText>Page</w:instrText>
    </w:r>
    <w:r>
      <w:rPr>
        <w:rStyle w:val="43"/>
      </w:rPr>
      <w:fldChar w:fldCharType="separate"/>
    </w:r>
    <w:r>
      <w:rPr>
        <w:rStyle w:val="43"/>
      </w:rPr>
      <w:t>1</w:t>
    </w:r>
    <w:r>
      <w:rPr>
        <w:rStyle w:val="43"/>
      </w:rPr>
      <w:fldChar w:fldCharType="end"/>
    </w:r>
  </w:p>
  <w:p>
    <w:pPr>
      <w:pStyle w:val="34"/>
      <w:tabs>
        <w:tab w:val="center" w:pos="4153"/>
        <w:tab w:val="right" w:pos="8307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ocumentProtection w:edit="readOnly" w:enforcement="0"/>
  <w:defaultTabStop w:val="420"/>
  <w:drawingGridHorizontalSpacing w:val="120"/>
  <w:drawingGridVerticalSpacing w:val="163"/>
  <w:displayHorizontalDrawingGridEvery w:val="0"/>
  <w:displayVerticalDrawingGridEvery w:val="1"/>
  <w:characterSpacingControl w:val="compressPunctuation"/>
  <w:compat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宋体" w:eastAsia="宋体" w:cs="Lucida Sans" w:hAnsi="文泉驿微米黑"/>
      <w:kern w:val="2"/>
      <w:sz w:val="24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Normal (Web)"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hAnsi="文泉驿微米黑"/>
      <w:snapToGrid/>
      <w:color w:val="auto"/>
      <w:spacing w:val="0"/>
      <w:w w:val="100"/>
      <w:kern w:val="0"/>
      <w:position w:val="0"/>
      <w:sz w:val="24"/>
      <w:szCs w:val="21"/>
      <w:u w:val="none" w:color="auto"/>
      <w:vertAlign w:val="baseline"/>
      <w:lang w:val="en-US" w:eastAsia="zh-CN" w:bidi="ar-SA"/>
    </w:rPr>
  </w:style>
  <w:style w:type="paragraph" w:styleId="33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styleId="34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character" w:styleId="43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333C2E2E-98E0-48DE-A1BC-9E6ED8A91420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16</TotalTime>
  <Application>Yozo_Office27021597764231179</Application>
  <Pages>5</Pages>
  <Words>0</Words>
  <Characters>1259</Characters>
  <Lines>0</Lines>
  <Paragraphs>48</Paragraphs>
  <CharactersWithSpaces>1679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huawei</dc:creator>
  <cp:lastModifiedBy>huawei</cp:lastModifiedBy>
  <cp:revision>1</cp:revision>
  <cp:lastPrinted>2026-07-22T02:24:34Z</cp:lastPrinted>
  <dcterms:created xsi:type="dcterms:W3CDTF">2025-06-18T01:22:00Z</dcterms:created>
  <dcterms:modified xsi:type="dcterms:W3CDTF">2026-07-23T07:07:42Z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eyJoZGlkIjoiODgxOTEzYjNiODM0YzA5NzgxMmY5NjYxMjZhOWZmYTYiLCJ1c2VySWQiOiIyNjUxNDExODYifQ==</vt:lpwstr>
  </property>
  <property fmtid="{D5CDD505-2E9C-101B-9397-08002B2CF9AE}" pid="3" name="KSOProductBuildVer">
    <vt:lpwstr>2052-12.1.0.26884</vt:lpwstr>
  </property>
  <property fmtid="{D5CDD505-2E9C-101B-9397-08002B2CF9AE}" pid="4" name="ICV">
    <vt:lpwstr>759BD54A33BC470AB78A369809CDBF8A_12</vt:lpwstr>
  </property>
</Properties>
</file>