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72CBB2F7">
      <w:pPr>
        <w:ind w:firstLine="300" w:firstLineChars="83"/>
        <w:jc w:val="center"/>
        <w:rPr>
          <w:rFonts w:hint="eastAsia" w:ascii="黑体" w:hAnsi="黑体" w:eastAsia="黑体"/>
          <w:b/>
          <w:bCs/>
          <w:color w:val="auto"/>
          <w:sz w:val="36"/>
          <w:szCs w:val="36"/>
        </w:rPr>
      </w:pPr>
      <w:bookmarkStart w:id="0" w:name="_Hlk207630626"/>
      <w:bookmarkStart w:id="1" w:name="_Hlk217983648"/>
    </w:p>
    <w:p w14:paraId="0B9DB4D4">
      <w:pPr>
        <w:ind w:firstLine="300" w:firstLineChars="83"/>
        <w:jc w:val="center"/>
        <w:rPr>
          <w:rFonts w:hint="eastAsia" w:ascii="黑体" w:hAnsi="黑体" w:eastAsia="黑体"/>
          <w:b/>
          <w:bCs/>
          <w:color w:val="auto"/>
          <w:sz w:val="36"/>
          <w:szCs w:val="36"/>
        </w:rPr>
      </w:pPr>
    </w:p>
    <w:p w14:paraId="09C1E3C2">
      <w:pPr>
        <w:ind w:firstLine="300" w:firstLineChars="83"/>
        <w:jc w:val="center"/>
        <w:rPr>
          <w:rFonts w:hint="eastAsia" w:ascii="黑体" w:hAnsi="黑体" w:eastAsia="黑体"/>
          <w:b/>
          <w:bCs/>
          <w:color w:val="auto"/>
          <w:sz w:val="36"/>
          <w:szCs w:val="36"/>
        </w:rPr>
      </w:pPr>
    </w:p>
    <w:p w14:paraId="09B839D4">
      <w:pPr>
        <w:ind w:firstLine="398" w:firstLineChars="83"/>
        <w:jc w:val="center"/>
        <w:rPr>
          <w:rFonts w:hint="eastAsia" w:ascii="方正小标宋简体" w:hAnsi="黑体" w:eastAsia="方正小标宋简体"/>
          <w:b w:val="0"/>
          <w:bCs w:val="0"/>
          <w:color w:val="auto"/>
          <w:sz w:val="48"/>
          <w:szCs w:val="48"/>
        </w:rPr>
      </w:pPr>
      <w:r>
        <w:rPr>
          <w:rFonts w:hint="eastAsia" w:ascii="方正小标宋简体" w:hAnsi="黑体" w:eastAsia="方正小标宋简体"/>
          <w:b w:val="0"/>
          <w:bCs w:val="0"/>
          <w:color w:val="auto"/>
          <w:sz w:val="48"/>
          <w:szCs w:val="48"/>
        </w:rPr>
        <w:t>平山县国民经济和社会发展第十五个</w:t>
      </w:r>
    </w:p>
    <w:p w14:paraId="6FAD7E56">
      <w:pPr>
        <w:ind w:firstLine="398" w:firstLineChars="83"/>
        <w:jc w:val="center"/>
        <w:rPr>
          <w:rFonts w:hint="eastAsia" w:ascii="方正小标宋简体" w:hAnsi="黑体" w:eastAsia="方正小标宋简体"/>
          <w:b w:val="0"/>
          <w:bCs w:val="0"/>
          <w:color w:val="auto"/>
          <w:sz w:val="48"/>
          <w:szCs w:val="48"/>
        </w:rPr>
      </w:pPr>
      <w:r>
        <w:rPr>
          <w:rFonts w:hint="eastAsia" w:ascii="方正小标宋简体" w:hAnsi="黑体" w:eastAsia="方正小标宋简体"/>
          <w:b w:val="0"/>
          <w:bCs w:val="0"/>
          <w:color w:val="auto"/>
          <w:sz w:val="48"/>
          <w:szCs w:val="48"/>
        </w:rPr>
        <w:t>五年规划纲要</w:t>
      </w:r>
      <w:bookmarkEnd w:id="0"/>
    </w:p>
    <w:p w14:paraId="6DD495D0">
      <w:pPr>
        <w:ind w:firstLine="367" w:firstLineChars="83"/>
        <w:jc w:val="center"/>
        <w:rPr>
          <w:rFonts w:hint="eastAsia" w:ascii="方正小标宋简体" w:hAnsi="黑体" w:eastAsia="方正小标宋简体"/>
          <w:b/>
          <w:bCs/>
          <w:color w:val="auto"/>
          <w:sz w:val="44"/>
          <w:szCs w:val="44"/>
        </w:rPr>
      </w:pPr>
    </w:p>
    <w:p w14:paraId="0F842E0C">
      <w:pPr>
        <w:tabs>
          <w:tab w:val="left" w:pos="4860"/>
        </w:tabs>
        <w:ind w:firstLine="0" w:firstLineChars="0"/>
        <w:jc w:val="center"/>
        <w:rPr>
          <w:rFonts w:hint="eastAsia" w:ascii="黑体" w:hAnsi="黑体" w:eastAsia="黑体"/>
          <w:b/>
          <w:bCs/>
          <w:color w:val="auto"/>
          <w:sz w:val="36"/>
          <w:szCs w:val="36"/>
        </w:rPr>
      </w:pPr>
    </w:p>
    <w:p w14:paraId="5CE741F9">
      <w:pPr>
        <w:tabs>
          <w:tab w:val="left" w:pos="4860"/>
        </w:tabs>
        <w:ind w:firstLine="0" w:firstLineChars="0"/>
        <w:jc w:val="center"/>
        <w:rPr>
          <w:rFonts w:hint="eastAsia" w:ascii="黑体" w:hAnsi="黑体" w:eastAsia="黑体"/>
          <w:b/>
          <w:bCs/>
          <w:color w:val="auto"/>
          <w:sz w:val="36"/>
          <w:szCs w:val="36"/>
        </w:rPr>
      </w:pPr>
    </w:p>
    <w:p w14:paraId="2EDACF77">
      <w:pPr>
        <w:tabs>
          <w:tab w:val="left" w:pos="4860"/>
        </w:tabs>
        <w:ind w:firstLine="0" w:firstLineChars="0"/>
        <w:jc w:val="center"/>
        <w:rPr>
          <w:rFonts w:hint="eastAsia" w:ascii="黑体" w:hAnsi="黑体" w:eastAsia="黑体"/>
          <w:b/>
          <w:bCs/>
          <w:color w:val="auto"/>
          <w:sz w:val="36"/>
          <w:szCs w:val="36"/>
        </w:rPr>
      </w:pPr>
    </w:p>
    <w:p w14:paraId="1B55D230">
      <w:pPr>
        <w:tabs>
          <w:tab w:val="left" w:pos="4860"/>
        </w:tabs>
        <w:ind w:firstLine="0" w:firstLineChars="0"/>
        <w:jc w:val="center"/>
        <w:rPr>
          <w:rFonts w:hint="eastAsia" w:ascii="黑体" w:hAnsi="黑体" w:eastAsia="黑体"/>
          <w:b/>
          <w:bCs/>
          <w:color w:val="auto"/>
          <w:sz w:val="36"/>
          <w:szCs w:val="36"/>
        </w:rPr>
      </w:pPr>
    </w:p>
    <w:p w14:paraId="6748A62F">
      <w:pPr>
        <w:tabs>
          <w:tab w:val="left" w:pos="4860"/>
        </w:tabs>
        <w:ind w:firstLine="0" w:firstLineChars="0"/>
        <w:jc w:val="center"/>
        <w:rPr>
          <w:rFonts w:hint="eastAsia" w:ascii="黑体" w:hAnsi="黑体" w:eastAsia="黑体"/>
          <w:b/>
          <w:bCs/>
          <w:color w:val="auto"/>
          <w:sz w:val="36"/>
          <w:szCs w:val="36"/>
        </w:rPr>
      </w:pPr>
    </w:p>
    <w:p w14:paraId="691C4AF7">
      <w:pPr>
        <w:ind w:firstLine="0" w:firstLineChars="0"/>
        <w:jc w:val="center"/>
        <w:rPr>
          <w:rFonts w:hint="eastAsia"/>
          <w:color w:val="auto"/>
        </w:rPr>
      </w:pPr>
    </w:p>
    <w:p w14:paraId="7D74C32A">
      <w:pPr>
        <w:ind w:firstLine="0" w:firstLineChars="0"/>
        <w:jc w:val="center"/>
        <w:rPr>
          <w:rFonts w:hint="eastAsia"/>
          <w:color w:val="auto"/>
        </w:rPr>
      </w:pPr>
    </w:p>
    <w:p w14:paraId="03700F82">
      <w:pPr>
        <w:ind w:firstLine="0" w:firstLineChars="0"/>
        <w:jc w:val="center"/>
        <w:rPr>
          <w:rFonts w:hint="eastAsia"/>
          <w:color w:val="auto"/>
        </w:rPr>
      </w:pPr>
    </w:p>
    <w:p w14:paraId="7D0F9B68">
      <w:pPr>
        <w:ind w:firstLine="0" w:firstLineChars="0"/>
        <w:jc w:val="center"/>
        <w:rPr>
          <w:rFonts w:hint="eastAsia" w:ascii="黑体" w:hAnsi="黑体" w:eastAsia="黑体" w:cs="黑体"/>
          <w:color w:val="auto"/>
        </w:rPr>
      </w:pPr>
    </w:p>
    <w:p w14:paraId="5AC9D2ED">
      <w:pPr>
        <w:widowControl/>
        <w:spacing w:line="240" w:lineRule="auto"/>
        <w:ind w:firstLine="0" w:firstLineChars="0"/>
        <w:jc w:val="center"/>
        <w:rPr>
          <w:rFonts w:hint="eastAsia" w:ascii="仿宋_GB2312"/>
          <w:b/>
          <w:color w:val="auto"/>
        </w:rPr>
      </w:pPr>
      <w:r>
        <w:rPr>
          <w:rFonts w:hint="eastAsia"/>
          <w:color w:val="auto"/>
        </w:rPr>
        <w:br w:type="page"/>
      </w:r>
    </w:p>
    <w:p w14:paraId="0BADA88A">
      <w:pPr>
        <w:pStyle w:val="2"/>
        <w:ind w:firstLine="0" w:firstLineChars="0"/>
        <w:jc w:val="center"/>
        <w:rPr>
          <w:rFonts w:hint="eastAsia"/>
          <w:color w:val="auto"/>
        </w:rPr>
      </w:pPr>
      <w:bookmarkStart w:id="2" w:name="_Toc216989007"/>
      <w:bookmarkStart w:id="3" w:name="_Toc212737913"/>
      <w:bookmarkStart w:id="4" w:name="_Toc211251906"/>
      <w:bookmarkStart w:id="5" w:name="_Toc225513171"/>
      <w:bookmarkStart w:id="6" w:name="_Toc217984217"/>
      <w:r>
        <w:rPr>
          <w:rFonts w:hint="eastAsia"/>
          <w:color w:val="auto"/>
        </w:rPr>
        <w:t>前 言</w:t>
      </w:r>
      <w:bookmarkEnd w:id="2"/>
      <w:bookmarkEnd w:id="3"/>
      <w:bookmarkEnd w:id="4"/>
      <w:bookmarkEnd w:id="5"/>
      <w:bookmarkEnd w:id="6"/>
    </w:p>
    <w:p w14:paraId="202772D4">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color w:val="auto"/>
          <w:szCs w:val="32"/>
        </w:rPr>
        <w:t>“十五五”时期是基本实现社会主义现代化夯实基础、全面发力的关键时期，也是平山高质量发展重点突破、整体跃升的关键时期。</w:t>
      </w:r>
      <w:bookmarkStart w:id="7" w:name="OLE_LINK28"/>
      <w:r>
        <w:rPr>
          <w:rFonts w:hint="eastAsia" w:ascii="仿宋_GB2312" w:hAnsi="仿宋_GB2312"/>
          <w:color w:val="auto"/>
        </w:rPr>
        <w:t>本纲要坚持以</w:t>
      </w:r>
      <w:r>
        <w:rPr>
          <w:rFonts w:hint="eastAsia" w:ascii="仿宋_GB2312" w:hAnsi="仿宋"/>
          <w:color w:val="auto"/>
          <w:szCs w:val="32"/>
        </w:rPr>
        <w:t>习近平新时代中国特色社会主义思想为指引,</w:t>
      </w:r>
      <w:r>
        <w:rPr>
          <w:rFonts w:hint="eastAsia" w:ascii="仿宋_GB2312" w:hAnsi="仿宋_GB2312"/>
          <w:color w:val="auto"/>
        </w:rPr>
        <w:t>深入贯彻党的二十大和二十届历次全会精神，统筹推进</w:t>
      </w:r>
      <w:r>
        <w:rPr>
          <w:rFonts w:ascii="仿宋_GB2312" w:hAnsi="仿宋_GB2312"/>
          <w:color w:val="auto"/>
        </w:rPr>
        <w:t>“</w:t>
      </w:r>
      <w:r>
        <w:rPr>
          <w:rFonts w:hint="eastAsia" w:ascii="仿宋_GB2312" w:hAnsi="仿宋_GB2312"/>
          <w:color w:val="auto"/>
        </w:rPr>
        <w:t>五位一体</w:t>
      </w:r>
      <w:r>
        <w:rPr>
          <w:rFonts w:ascii="仿宋_GB2312" w:hAnsi="仿宋_GB2312"/>
          <w:color w:val="auto"/>
        </w:rPr>
        <w:t>”</w:t>
      </w:r>
      <w:r>
        <w:rPr>
          <w:rFonts w:hint="eastAsia" w:ascii="仿宋_GB2312" w:hAnsi="仿宋_GB2312"/>
          <w:color w:val="auto"/>
        </w:rPr>
        <w:t>总体布局和</w:t>
      </w:r>
      <w:r>
        <w:rPr>
          <w:rFonts w:ascii="仿宋_GB2312" w:hAnsi="仿宋_GB2312"/>
          <w:color w:val="auto"/>
        </w:rPr>
        <w:t>“</w:t>
      </w:r>
      <w:r>
        <w:rPr>
          <w:rFonts w:hint="eastAsia" w:ascii="仿宋_GB2312" w:hAnsi="仿宋_GB2312"/>
          <w:color w:val="auto"/>
        </w:rPr>
        <w:t>四个全面</w:t>
      </w:r>
      <w:r>
        <w:rPr>
          <w:rFonts w:ascii="仿宋_GB2312" w:hAnsi="仿宋_GB2312"/>
          <w:color w:val="auto"/>
        </w:rPr>
        <w:t>”</w:t>
      </w:r>
      <w:r>
        <w:rPr>
          <w:rFonts w:hint="eastAsia" w:ascii="仿宋_GB2312" w:hAnsi="仿宋_GB2312"/>
          <w:color w:val="auto"/>
        </w:rPr>
        <w:t>战略布局，全面贯彻习近平总书记视察河北、视察石家庄重要讲话和重要指示批示精神和给西柏坡镇北庄村全体党员的重要回信精神，依据《中共平山县委关于制定平山县国民经济和社会发展第十五个五年规划的建议》编制，主要阐明了全县发展战略，明确政府工作重点，引导和规范经营主体行为，</w:t>
      </w:r>
      <w:r>
        <w:rPr>
          <w:rFonts w:hint="eastAsia" w:ascii="仿宋_GB2312" w:hAnsi="仿宋"/>
          <w:color w:val="auto"/>
          <w:szCs w:val="32"/>
        </w:rPr>
        <w:t>对于平山县立足新发展阶段，完整、准确、全面贯彻新发展理念，服务和融入新发展格局，系统推进县域经济社会高质量发展，具有全局性、战略性指导意义。</w:t>
      </w:r>
    </w:p>
    <w:bookmarkEnd w:id="7"/>
    <w:p w14:paraId="246CE770">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color w:val="auto"/>
          <w:szCs w:val="32"/>
        </w:rPr>
        <w:t>平山将以“红色精神铸魂”为价值引领、以“绿电钢铁强基”为核心引擎、以“区域协同跃升”为空间路径，三大战略协同发力，全方位激活县域发展新动能，共同构筑国民经济和社会发展的“赶考”之路，全力建设产业振兴、生态宜居、和谐安定、充满活力的新平山，奋力谱写新时代平山高质量发展的壮丽篇章。</w:t>
      </w:r>
    </w:p>
    <w:p w14:paraId="00F784EA">
      <w:pPr>
        <w:widowControl/>
        <w:spacing w:line="240" w:lineRule="auto"/>
        <w:ind w:firstLine="0" w:firstLineChars="0"/>
        <w:jc w:val="left"/>
        <w:rPr>
          <w:rFonts w:hint="eastAsia"/>
          <w:color w:val="auto"/>
        </w:rPr>
      </w:pPr>
      <w:r>
        <w:rPr>
          <w:rFonts w:hint="eastAsia"/>
          <w:color w:val="auto"/>
        </w:rPr>
        <w:br w:type="page"/>
      </w:r>
    </w:p>
    <w:sdt>
      <w:sdtPr>
        <w:rPr>
          <w:rFonts w:eastAsia="仿宋_GB2312" w:asciiTheme="minorHAnsi" w:hAnsiTheme="minorHAnsi" w:cstheme="minorBidi"/>
          <w:color w:val="auto"/>
          <w:kern w:val="2"/>
          <w:sz w:val="36"/>
          <w:szCs w:val="24"/>
          <w:lang w:val="zh-CN"/>
        </w:rPr>
        <w:id w:val="-1"/>
      </w:sdtPr>
      <w:sdtEndPr>
        <w:rPr>
          <w:rFonts w:eastAsia="仿宋_GB2312" w:asciiTheme="minorHAnsi" w:hAnsiTheme="minorHAnsi" w:cstheme="minorBidi"/>
          <w:b/>
          <w:bCs/>
          <w:color w:val="auto"/>
          <w:kern w:val="2"/>
          <w:sz w:val="36"/>
          <w:szCs w:val="22"/>
          <w:lang w:val="zh-CN"/>
        </w:rPr>
      </w:sdtEndPr>
      <w:sdtContent>
        <w:p w14:paraId="32B2B497">
          <w:pPr>
            <w:pStyle w:val="133"/>
            <w:spacing w:line="240" w:lineRule="auto"/>
            <w:jc w:val="center"/>
            <w:rPr>
              <w:rStyle w:val="38"/>
              <w:rFonts w:hint="eastAsia"/>
              <w:b/>
              <w:bCs/>
              <w:color w:val="auto"/>
              <w:sz w:val="36"/>
              <w:szCs w:val="48"/>
            </w:rPr>
          </w:pPr>
          <w:bookmarkStart w:id="8" w:name="_Toc212752658"/>
          <w:bookmarkStart w:id="9" w:name="_Toc212752918"/>
          <w:bookmarkStart w:id="10" w:name="_Toc213098530"/>
          <w:bookmarkStart w:id="11" w:name="_Toc213060124"/>
          <w:bookmarkStart w:id="12" w:name="_Toc212737914"/>
          <w:bookmarkStart w:id="13" w:name="_Toc212747488"/>
          <w:bookmarkStart w:id="14" w:name="_Toc212753208"/>
          <w:r>
            <w:rPr>
              <w:rStyle w:val="38"/>
              <w:b/>
              <w:bCs/>
              <w:color w:val="auto"/>
              <w:sz w:val="36"/>
              <w:szCs w:val="48"/>
            </w:rPr>
            <w:t>目</w:t>
          </w:r>
          <w:r>
            <w:rPr>
              <w:rStyle w:val="38"/>
              <w:rFonts w:hint="eastAsia"/>
              <w:b/>
              <w:bCs/>
              <w:color w:val="auto"/>
              <w:sz w:val="36"/>
              <w:szCs w:val="48"/>
            </w:rPr>
            <w:t xml:space="preserve"> </w:t>
          </w:r>
          <w:r>
            <w:rPr>
              <w:rStyle w:val="38"/>
              <w:b/>
              <w:bCs/>
              <w:color w:val="auto"/>
              <w:sz w:val="36"/>
              <w:szCs w:val="48"/>
            </w:rPr>
            <w:t>录</w:t>
          </w:r>
        </w:p>
        <w:p w14:paraId="5C941792">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rFonts w:hint="eastAsia"/>
              <w:color w:val="auto"/>
            </w:rPr>
            <w:fldChar w:fldCharType="begin"/>
          </w:r>
          <w:r>
            <w:rPr>
              <w:rFonts w:hint="eastAsia"/>
              <w:color w:val="auto"/>
            </w:rPr>
            <w:instrText xml:space="preserve"> TOC \o "1-3" \h \z \u </w:instrText>
          </w:r>
          <w:r>
            <w:rPr>
              <w:rFonts w:hint="eastAsia"/>
              <w:color w:val="auto"/>
            </w:rPr>
            <w:fldChar w:fldCharType="separate"/>
          </w:r>
          <w:r>
            <w:rPr>
              <w:color w:val="auto"/>
            </w:rPr>
            <w:fldChar w:fldCharType="begin"/>
          </w:r>
          <w:r>
            <w:rPr>
              <w:color w:val="auto"/>
            </w:rPr>
            <w:instrText xml:space="preserve"> HYPERLINK \l "_Toc225513171" </w:instrText>
          </w:r>
          <w:r>
            <w:rPr>
              <w:color w:val="auto"/>
            </w:rPr>
            <w:fldChar w:fldCharType="separate"/>
          </w:r>
          <w:r>
            <w:rPr>
              <w:rStyle w:val="36"/>
              <w:rFonts w:hint="eastAsia"/>
              <w:color w:val="auto"/>
            </w:rPr>
            <w:t>前 言</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_Toc225513171 \h</w:instrText>
          </w:r>
          <w:r>
            <w:rPr>
              <w:rFonts w:hint="eastAsia"/>
              <w:color w:val="auto"/>
            </w:rPr>
            <w:instrText xml:space="preserve"> </w:instrText>
          </w:r>
          <w:r>
            <w:rPr>
              <w:rFonts w:hint="eastAsia"/>
              <w:color w:val="auto"/>
            </w:rPr>
            <w:fldChar w:fldCharType="separate"/>
          </w:r>
          <w:r>
            <w:rPr>
              <w:color w:val="auto"/>
            </w:rPr>
            <w:t>2</w:t>
          </w:r>
          <w:r>
            <w:rPr>
              <w:rFonts w:hint="eastAsia"/>
              <w:color w:val="auto"/>
            </w:rPr>
            <w:fldChar w:fldCharType="end"/>
          </w:r>
          <w:r>
            <w:rPr>
              <w:rFonts w:hint="eastAsia"/>
              <w:color w:val="auto"/>
            </w:rPr>
            <w:fldChar w:fldCharType="end"/>
          </w:r>
        </w:p>
        <w:p w14:paraId="385926AA">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"_Toc225513172" </w:instrText>
          </w:r>
          <w:r>
            <w:rPr>
              <w:color w:val="auto"/>
            </w:rPr>
            <w:fldChar w:fldCharType="separate"/>
          </w:r>
          <w:r>
            <w:rPr>
              <w:rStyle w:val="36"/>
              <w:rFonts w:hint="eastAsia"/>
              <w:color w:val="auto"/>
            </w:rPr>
            <w:t>第一篇 回首成就固初心，开启平山建设新篇章</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_Toc225513172 \h</w:instrText>
          </w:r>
          <w:r>
            <w:rPr>
              <w:rFonts w:hint="eastAsia"/>
              <w:color w:val="auto"/>
            </w:rPr>
            <w:instrText xml:space="preserve"> </w:instrText>
          </w:r>
          <w:r>
            <w:rPr>
              <w:rFonts w:hint="eastAsia"/>
              <w:color w:val="auto"/>
            </w:rPr>
            <w:fldChar w:fldCharType="separate"/>
          </w:r>
          <w:r>
            <w:rPr>
              <w:color w:val="auto"/>
            </w:rPr>
            <w:t>15</w:t>
          </w:r>
          <w:r>
            <w:rPr>
              <w:rFonts w:hint="eastAsia"/>
              <w:color w:val="auto"/>
            </w:rPr>
            <w:fldChar w:fldCharType="end"/>
          </w:r>
          <w:r>
            <w:rPr>
              <w:rFonts w:hint="eastAsia"/>
              <w:color w:val="auto"/>
            </w:rPr>
            <w:fldChar w:fldCharType="end"/>
          </w:r>
        </w:p>
        <w:p w14:paraId="4F2D0D71">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"_Toc225513173" </w:instrText>
          </w:r>
          <w:r>
            <w:rPr>
              <w:color w:val="auto"/>
            </w:rPr>
            <w:fldChar w:fldCharType="separate"/>
          </w:r>
          <w:r>
            <w:rPr>
              <w:rStyle w:val="36"/>
              <w:rFonts w:hint="eastAsia" w:ascii="楷体_GB2312" w:hAnsi="楷体_GB2312" w:cs="楷体_GB2312"/>
              <w:color w:val="auto"/>
            </w:rPr>
            <w:t>第一章 砥砺前行“十四五”，夯实高质量发展根基</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_Toc225513173 \h</w:instrText>
          </w:r>
          <w:r>
            <w:rPr>
              <w:rFonts w:hint="eastAsia"/>
              <w:color w:val="auto"/>
            </w:rPr>
            <w:instrText xml:space="preserve"> </w:instrText>
          </w:r>
          <w:r>
            <w:rPr>
              <w:rFonts w:hint="eastAsia"/>
              <w:color w:val="auto"/>
            </w:rPr>
            <w:fldChar w:fldCharType="separate"/>
          </w:r>
          <w:r>
            <w:rPr>
              <w:color w:val="auto"/>
            </w:rPr>
            <w:t>15</w:t>
          </w:r>
          <w:r>
            <w:rPr>
              <w:rFonts w:hint="eastAsia"/>
              <w:color w:val="auto"/>
            </w:rPr>
            <w:fldChar w:fldCharType="end"/>
          </w:r>
          <w:r>
            <w:rPr>
              <w:rFonts w:hint="eastAsia"/>
              <w:color w:val="auto"/>
            </w:rPr>
            <w:fldChar w:fldCharType="end"/>
          </w:r>
        </w:p>
        <w:p w14:paraId="0E697F0C">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"_Toc225513174" </w:instrText>
          </w:r>
          <w:r>
            <w:rPr>
              <w:color w:val="auto"/>
            </w:rPr>
            <w:fldChar w:fldCharType="separate"/>
          </w:r>
          <w:r>
            <w:rPr>
              <w:rStyle w:val="36"/>
              <w:rFonts w:hint="eastAsia" w:ascii="楷体_GB2312" w:hAnsi="楷体_GB2312" w:cs="楷体_GB2312"/>
              <w:color w:val="auto"/>
            </w:rPr>
            <w:t>第二章 提质增效“十五五”，开启高质量发展新征程</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_Toc225513174 \h</w:instrText>
          </w:r>
          <w:r>
            <w:rPr>
              <w:rFonts w:hint="eastAsia"/>
              <w:color w:val="auto"/>
            </w:rPr>
            <w:instrText xml:space="preserve"> </w:instrText>
          </w:r>
          <w:r>
            <w:rPr>
              <w:rFonts w:hint="eastAsia"/>
              <w:color w:val="auto"/>
            </w:rPr>
            <w:fldChar w:fldCharType="separate"/>
          </w:r>
          <w:r>
            <w:rPr>
              <w:color w:val="auto"/>
            </w:rPr>
            <w:t>20</w:t>
          </w:r>
          <w:r>
            <w:rPr>
              <w:rFonts w:hint="eastAsia"/>
              <w:color w:val="auto"/>
            </w:rPr>
            <w:fldChar w:fldCharType="end"/>
          </w:r>
          <w:r>
            <w:rPr>
              <w:rFonts w:hint="eastAsia"/>
              <w:color w:val="auto"/>
            </w:rPr>
            <w:fldChar w:fldCharType="end"/>
          </w:r>
        </w:p>
        <w:p w14:paraId="003B9E6B">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"_Toc225513175" </w:instrText>
          </w:r>
          <w:r>
            <w:rPr>
              <w:color w:val="auto"/>
            </w:rPr>
            <w:fldChar w:fldCharType="separate"/>
          </w:r>
          <w:r>
            <w:rPr>
              <w:rStyle w:val="36"/>
              <w:rFonts w:hint="eastAsia"/>
              <w:color w:val="auto"/>
            </w:rPr>
            <w:t>一、发展机遇</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_Toc225513175 \h</w:instrText>
          </w:r>
          <w:r>
            <w:rPr>
              <w:rFonts w:hint="eastAsia"/>
              <w:color w:val="auto"/>
            </w:rPr>
            <w:instrText xml:space="preserve"> </w:instrText>
          </w:r>
          <w:r>
            <w:rPr>
              <w:rFonts w:hint="eastAsia"/>
              <w:color w:val="auto"/>
            </w:rPr>
            <w:fldChar w:fldCharType="separate"/>
          </w:r>
          <w:r>
            <w:rPr>
              <w:color w:val="auto"/>
            </w:rPr>
            <w:t>20</w:t>
          </w:r>
          <w:r>
            <w:rPr>
              <w:rFonts w:hint="eastAsia"/>
              <w:color w:val="auto"/>
            </w:rPr>
            <w:fldChar w:fldCharType="end"/>
          </w:r>
          <w:r>
            <w:rPr>
              <w:rFonts w:hint="eastAsia"/>
              <w:color w:val="auto"/>
            </w:rPr>
            <w:fldChar w:fldCharType="end"/>
          </w:r>
        </w:p>
        <w:p w14:paraId="0A39250C">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"_Toc225513176" </w:instrText>
          </w:r>
          <w:r>
            <w:rPr>
              <w:color w:val="auto"/>
            </w:rPr>
            <w:fldChar w:fldCharType="separate"/>
          </w:r>
          <w:r>
            <w:rPr>
              <w:rStyle w:val="36"/>
              <w:rFonts w:hint="eastAsia"/>
              <w:color w:val="auto"/>
            </w:rPr>
            <w:t>二、面临挑战</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_Toc225513176 \h</w:instrText>
          </w:r>
          <w:r>
            <w:rPr>
              <w:rFonts w:hint="eastAsia"/>
              <w:color w:val="auto"/>
            </w:rPr>
            <w:instrText xml:space="preserve"> </w:instrText>
          </w:r>
          <w:r>
            <w:rPr>
              <w:rFonts w:hint="eastAsia"/>
              <w:color w:val="auto"/>
            </w:rPr>
            <w:fldChar w:fldCharType="separate"/>
          </w:r>
          <w:r>
            <w:rPr>
              <w:color w:val="auto"/>
            </w:rPr>
            <w:t>21</w:t>
          </w:r>
          <w:r>
            <w:rPr>
              <w:rFonts w:hint="eastAsia"/>
              <w:color w:val="auto"/>
            </w:rPr>
            <w:fldChar w:fldCharType="end"/>
          </w:r>
          <w:r>
            <w:rPr>
              <w:rFonts w:hint="eastAsia"/>
              <w:color w:val="auto"/>
            </w:rPr>
            <w:fldChar w:fldCharType="end"/>
          </w:r>
        </w:p>
        <w:p w14:paraId="4D4EFD59">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"_Toc225513177" </w:instrText>
          </w:r>
          <w:r>
            <w:rPr>
              <w:color w:val="auto"/>
            </w:rPr>
            <w:fldChar w:fldCharType="separate"/>
          </w:r>
          <w:r>
            <w:rPr>
              <w:rStyle w:val="36"/>
              <w:rFonts w:hint="eastAsia"/>
              <w:color w:val="auto"/>
            </w:rPr>
            <w:t>第三章 指导思想、基本原则、战略定位和发展目标</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_Toc225513177 \h</w:instrText>
          </w:r>
          <w:r>
            <w:rPr>
              <w:rFonts w:hint="eastAsia"/>
              <w:color w:val="auto"/>
            </w:rPr>
            <w:instrText xml:space="preserve"> </w:instrText>
          </w:r>
          <w:r>
            <w:rPr>
              <w:rFonts w:hint="eastAsia"/>
              <w:color w:val="auto"/>
            </w:rPr>
            <w:fldChar w:fldCharType="separate"/>
          </w:r>
          <w:r>
            <w:rPr>
              <w:color w:val="auto"/>
            </w:rPr>
            <w:t>22</w:t>
          </w:r>
          <w:r>
            <w:rPr>
              <w:rFonts w:hint="eastAsia"/>
              <w:color w:val="auto"/>
            </w:rPr>
            <w:fldChar w:fldCharType="end"/>
          </w:r>
          <w:r>
            <w:rPr>
              <w:rFonts w:hint="eastAsia"/>
              <w:color w:val="auto"/>
            </w:rPr>
            <w:fldChar w:fldCharType="end"/>
          </w:r>
        </w:p>
        <w:p w14:paraId="6A5A2C31">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"_Toc225513178" </w:instrText>
          </w:r>
          <w:r>
            <w:rPr>
              <w:color w:val="auto"/>
            </w:rPr>
            <w:fldChar w:fldCharType="separate"/>
          </w:r>
          <w:r>
            <w:rPr>
              <w:rStyle w:val="36"/>
              <w:rFonts w:hint="eastAsia" w:ascii="仿宋_GB2312"/>
              <w:color w:val="auto"/>
            </w:rPr>
            <w:t>一、指导思想</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_Toc225513178 \h</w:instrText>
          </w:r>
          <w:r>
            <w:rPr>
              <w:rFonts w:hint="eastAsia"/>
              <w:color w:val="auto"/>
            </w:rPr>
            <w:instrText xml:space="preserve"> </w:instrText>
          </w:r>
          <w:r>
            <w:rPr>
              <w:rFonts w:hint="eastAsia"/>
              <w:color w:val="auto"/>
            </w:rPr>
            <w:fldChar w:fldCharType="separate"/>
          </w:r>
          <w:r>
            <w:rPr>
              <w:color w:val="auto"/>
            </w:rPr>
            <w:t>22</w:t>
          </w:r>
          <w:r>
            <w:rPr>
              <w:rFonts w:hint="eastAsia"/>
              <w:color w:val="auto"/>
            </w:rPr>
            <w:fldChar w:fldCharType="end"/>
          </w:r>
          <w:r>
            <w:rPr>
              <w:rFonts w:hint="eastAsia"/>
              <w:color w:val="auto"/>
            </w:rPr>
            <w:fldChar w:fldCharType="end"/>
          </w:r>
        </w:p>
        <w:p w14:paraId="205E41CC">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"_Toc225513179" </w:instrText>
          </w:r>
          <w:r>
            <w:rPr>
              <w:color w:val="auto"/>
            </w:rPr>
            <w:fldChar w:fldCharType="separate"/>
          </w:r>
          <w:r>
            <w:rPr>
              <w:rStyle w:val="36"/>
              <w:rFonts w:hint="eastAsia" w:ascii="仿宋_GB2312"/>
              <w:color w:val="auto"/>
            </w:rPr>
            <w:t>二、基本原则</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_Toc225513179 \h</w:instrText>
          </w:r>
          <w:r>
            <w:rPr>
              <w:rFonts w:hint="eastAsia"/>
              <w:color w:val="auto"/>
            </w:rPr>
            <w:instrText xml:space="preserve"> </w:instrText>
          </w:r>
          <w:r>
            <w:rPr>
              <w:rFonts w:hint="eastAsia"/>
              <w:color w:val="auto"/>
            </w:rPr>
            <w:fldChar w:fldCharType="separate"/>
          </w:r>
          <w:r>
            <w:rPr>
              <w:color w:val="auto"/>
            </w:rPr>
            <w:t>23</w:t>
          </w:r>
          <w:r>
            <w:rPr>
              <w:rFonts w:hint="eastAsia"/>
              <w:color w:val="auto"/>
            </w:rPr>
            <w:fldChar w:fldCharType="end"/>
          </w:r>
          <w:r>
            <w:rPr>
              <w:rFonts w:hint="eastAsia"/>
              <w:color w:val="auto"/>
            </w:rPr>
            <w:fldChar w:fldCharType="end"/>
          </w:r>
        </w:p>
        <w:p w14:paraId="5B0EFB76">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"_Toc225513180" </w:instrText>
          </w:r>
          <w:r>
            <w:rPr>
              <w:color w:val="auto"/>
            </w:rPr>
            <w:fldChar w:fldCharType="separate"/>
          </w:r>
          <w:r>
            <w:rPr>
              <w:rStyle w:val="36"/>
              <w:rFonts w:hint="eastAsia"/>
              <w:color w:val="auto"/>
            </w:rPr>
            <w:t>三、战略定位</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_Toc225513180 \h</w:instrText>
          </w:r>
          <w:r>
            <w:rPr>
              <w:rFonts w:hint="eastAsia"/>
              <w:color w:val="auto"/>
            </w:rPr>
            <w:instrText xml:space="preserve"> </w:instrText>
          </w:r>
          <w:r>
            <w:rPr>
              <w:rFonts w:hint="eastAsia"/>
              <w:color w:val="auto"/>
            </w:rPr>
            <w:fldChar w:fldCharType="separate"/>
          </w:r>
          <w:r>
            <w:rPr>
              <w:color w:val="auto"/>
            </w:rPr>
            <w:t>24</w:t>
          </w:r>
          <w:r>
            <w:rPr>
              <w:rFonts w:hint="eastAsia"/>
              <w:color w:val="auto"/>
            </w:rPr>
            <w:fldChar w:fldCharType="end"/>
          </w:r>
          <w:r>
            <w:rPr>
              <w:rFonts w:hint="eastAsia"/>
              <w:color w:val="auto"/>
            </w:rPr>
            <w:fldChar w:fldCharType="end"/>
          </w:r>
        </w:p>
        <w:p w14:paraId="68D1BB3A">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"_Toc225513181" </w:instrText>
          </w:r>
          <w:r>
            <w:rPr>
              <w:color w:val="auto"/>
            </w:rPr>
            <w:fldChar w:fldCharType="separate"/>
          </w:r>
          <w:r>
            <w:rPr>
              <w:rStyle w:val="36"/>
              <w:rFonts w:hint="eastAsia"/>
              <w:color w:val="auto"/>
            </w:rPr>
            <w:t>四、发展目标</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_Toc225513181 \h</w:instrText>
          </w:r>
          <w:r>
            <w:rPr>
              <w:rFonts w:hint="eastAsia"/>
              <w:color w:val="auto"/>
            </w:rPr>
            <w:instrText xml:space="preserve"> </w:instrText>
          </w:r>
          <w:r>
            <w:rPr>
              <w:rFonts w:hint="eastAsia"/>
              <w:color w:val="auto"/>
            </w:rPr>
            <w:fldChar w:fldCharType="separate"/>
          </w:r>
          <w:r>
            <w:rPr>
              <w:color w:val="auto"/>
            </w:rPr>
            <w:t>25</w:t>
          </w:r>
          <w:r>
            <w:rPr>
              <w:rFonts w:hint="eastAsia"/>
              <w:color w:val="auto"/>
            </w:rPr>
            <w:fldChar w:fldCharType="end"/>
          </w:r>
          <w:r>
            <w:rPr>
              <w:rFonts w:hint="eastAsia"/>
              <w:color w:val="auto"/>
            </w:rPr>
            <w:fldChar w:fldCharType="end"/>
          </w:r>
        </w:p>
        <w:p w14:paraId="51088659">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"_Toc225513182" </w:instrText>
          </w:r>
          <w:r>
            <w:rPr>
              <w:color w:val="auto"/>
            </w:rPr>
            <w:fldChar w:fldCharType="separate"/>
          </w:r>
          <w:r>
            <w:rPr>
              <w:rStyle w:val="36"/>
              <w:rFonts w:hint="eastAsia"/>
              <w:color w:val="auto"/>
            </w:rPr>
            <w:t>第二篇 构建多元化产业体系，厚植高质量发展根基</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_Toc225513182 \h</w:instrText>
          </w:r>
          <w:r>
            <w:rPr>
              <w:rFonts w:hint="eastAsia"/>
              <w:color w:val="auto"/>
            </w:rPr>
            <w:instrText xml:space="preserve"> </w:instrText>
          </w:r>
          <w:r>
            <w:rPr>
              <w:rFonts w:hint="eastAsia"/>
              <w:color w:val="auto"/>
            </w:rPr>
            <w:fldChar w:fldCharType="separate"/>
          </w:r>
          <w:r>
            <w:rPr>
              <w:color w:val="auto"/>
            </w:rPr>
            <w:t>28</w:t>
          </w:r>
          <w:r>
            <w:rPr>
              <w:rFonts w:hint="eastAsia"/>
              <w:color w:val="auto"/>
            </w:rPr>
            <w:fldChar w:fldCharType="end"/>
          </w:r>
          <w:r>
            <w:rPr>
              <w:rFonts w:hint="eastAsia"/>
              <w:color w:val="auto"/>
            </w:rPr>
            <w:fldChar w:fldCharType="end"/>
          </w:r>
        </w:p>
        <w:p w14:paraId="4F16DBD9">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"_Toc225513183" </w:instrText>
          </w:r>
          <w:r>
            <w:rPr>
              <w:color w:val="auto"/>
            </w:rPr>
            <w:fldChar w:fldCharType="separate"/>
          </w:r>
          <w:r>
            <w:rPr>
              <w:rStyle w:val="36"/>
              <w:rFonts w:hint="eastAsia" w:ascii="楷体_GB2312" w:hAnsi="楷体_GB2312" w:cs="楷体_GB2312"/>
              <w:color w:val="auto"/>
            </w:rPr>
            <w:t>第一章 提升传统产业，夯实发展基础</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_Toc225513183 \h</w:instrText>
          </w:r>
          <w:r>
            <w:rPr>
              <w:rFonts w:hint="eastAsia"/>
              <w:color w:val="auto"/>
            </w:rPr>
            <w:instrText xml:space="preserve"> </w:instrText>
          </w:r>
          <w:r>
            <w:rPr>
              <w:rFonts w:hint="eastAsia"/>
              <w:color w:val="auto"/>
            </w:rPr>
            <w:fldChar w:fldCharType="separate"/>
          </w:r>
          <w:r>
            <w:rPr>
              <w:color w:val="auto"/>
            </w:rPr>
            <w:t>28</w:t>
          </w:r>
          <w:r>
            <w:rPr>
              <w:rFonts w:hint="eastAsia"/>
              <w:color w:val="auto"/>
            </w:rPr>
            <w:fldChar w:fldCharType="end"/>
          </w:r>
          <w:r>
            <w:rPr>
              <w:rFonts w:hint="eastAsia"/>
              <w:color w:val="auto"/>
            </w:rPr>
            <w:fldChar w:fldCharType="end"/>
          </w:r>
        </w:p>
        <w:p w14:paraId="3AFCF3AA">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"_Toc225513184" </w:instrText>
          </w:r>
          <w:r>
            <w:rPr>
              <w:color w:val="auto"/>
            </w:rPr>
            <w:fldChar w:fldCharType="separate"/>
          </w:r>
          <w:r>
            <w:rPr>
              <w:rStyle w:val="36"/>
              <w:rFonts w:hint="eastAsia" w:ascii="仿宋_GB2312"/>
              <w:color w:val="auto"/>
            </w:rPr>
            <w:t>一、推动产品结构高端化</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_Toc225513184 \h</w:instrText>
          </w:r>
          <w:r>
            <w:rPr>
              <w:rFonts w:hint="eastAsia"/>
              <w:color w:val="auto"/>
            </w:rPr>
            <w:instrText xml:space="preserve"> </w:instrText>
          </w:r>
          <w:r>
            <w:rPr>
              <w:rFonts w:hint="eastAsia"/>
              <w:color w:val="auto"/>
            </w:rPr>
            <w:fldChar w:fldCharType="separate"/>
          </w:r>
          <w:r>
            <w:rPr>
              <w:color w:val="auto"/>
            </w:rPr>
            <w:t>28</w:t>
          </w:r>
          <w:r>
            <w:rPr>
              <w:rFonts w:hint="eastAsia"/>
              <w:color w:val="auto"/>
            </w:rPr>
            <w:fldChar w:fldCharType="end"/>
          </w:r>
          <w:r>
            <w:rPr>
              <w:rFonts w:hint="eastAsia"/>
              <w:color w:val="auto"/>
            </w:rPr>
            <w:fldChar w:fldCharType="end"/>
          </w:r>
        </w:p>
        <w:p w14:paraId="151CA6D0">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"_Toc225513185" </w:instrText>
          </w:r>
          <w:r>
            <w:rPr>
              <w:color w:val="auto"/>
            </w:rPr>
            <w:fldChar w:fldCharType="separate"/>
          </w:r>
          <w:r>
            <w:rPr>
              <w:rStyle w:val="36"/>
              <w:rFonts w:hint="eastAsia" w:ascii="仿宋_GB2312"/>
              <w:color w:val="auto"/>
            </w:rPr>
            <w:t>二、促进产业发展链条化</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_Toc225513185 \h</w:instrText>
          </w:r>
          <w:r>
            <w:rPr>
              <w:rFonts w:hint="eastAsia"/>
              <w:color w:val="auto"/>
            </w:rPr>
            <w:instrText xml:space="preserve"> </w:instrText>
          </w:r>
          <w:r>
            <w:rPr>
              <w:rFonts w:hint="eastAsia"/>
              <w:color w:val="auto"/>
            </w:rPr>
            <w:fldChar w:fldCharType="separate"/>
          </w:r>
          <w:r>
            <w:rPr>
              <w:color w:val="auto"/>
            </w:rPr>
            <w:t>29</w:t>
          </w:r>
          <w:r>
            <w:rPr>
              <w:rFonts w:hint="eastAsia"/>
              <w:color w:val="auto"/>
            </w:rPr>
            <w:fldChar w:fldCharType="end"/>
          </w:r>
          <w:r>
            <w:rPr>
              <w:rFonts w:hint="eastAsia"/>
              <w:color w:val="auto"/>
            </w:rPr>
            <w:fldChar w:fldCharType="end"/>
          </w:r>
        </w:p>
        <w:p w14:paraId="07383C2D">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"_Toc225513186" </w:instrText>
          </w:r>
          <w:r>
            <w:rPr>
              <w:color w:val="auto"/>
            </w:rPr>
            <w:fldChar w:fldCharType="separate"/>
          </w:r>
          <w:r>
            <w:rPr>
              <w:rStyle w:val="36"/>
              <w:rFonts w:hint="eastAsia" w:ascii="仿宋_GB2312"/>
              <w:color w:val="auto"/>
            </w:rPr>
            <w:t>三、实现发展模式循环化</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_Toc225513186 \h</w:instrText>
          </w:r>
          <w:r>
            <w:rPr>
              <w:rFonts w:hint="eastAsia"/>
              <w:color w:val="auto"/>
            </w:rPr>
            <w:instrText xml:space="preserve"> </w:instrText>
          </w:r>
          <w:r>
            <w:rPr>
              <w:rFonts w:hint="eastAsia"/>
              <w:color w:val="auto"/>
            </w:rPr>
            <w:fldChar w:fldCharType="separate"/>
          </w:r>
          <w:r>
            <w:rPr>
              <w:color w:val="auto"/>
            </w:rPr>
            <w:t>29</w:t>
          </w:r>
          <w:r>
            <w:rPr>
              <w:rFonts w:hint="eastAsia"/>
              <w:color w:val="auto"/>
            </w:rPr>
            <w:fldChar w:fldCharType="end"/>
          </w:r>
          <w:r>
            <w:rPr>
              <w:rFonts w:hint="eastAsia"/>
              <w:color w:val="auto"/>
            </w:rPr>
            <w:fldChar w:fldCharType="end"/>
          </w:r>
        </w:p>
        <w:p w14:paraId="1369502F">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"_Toc225513187" </w:instrText>
          </w:r>
          <w:r>
            <w:rPr>
              <w:color w:val="auto"/>
            </w:rPr>
            <w:fldChar w:fldCharType="separate"/>
          </w:r>
          <w:r>
            <w:rPr>
              <w:rStyle w:val="36"/>
              <w:rFonts w:hint="eastAsia" w:ascii="仿宋_GB2312"/>
              <w:color w:val="auto"/>
            </w:rPr>
            <w:t>四、推进“共享智造”协同化</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_Toc225513187 \h</w:instrText>
          </w:r>
          <w:r>
            <w:rPr>
              <w:rFonts w:hint="eastAsia"/>
              <w:color w:val="auto"/>
            </w:rPr>
            <w:instrText xml:space="preserve"> </w:instrText>
          </w:r>
          <w:r>
            <w:rPr>
              <w:rFonts w:hint="eastAsia"/>
              <w:color w:val="auto"/>
            </w:rPr>
            <w:fldChar w:fldCharType="separate"/>
          </w:r>
          <w:r>
            <w:rPr>
              <w:color w:val="auto"/>
            </w:rPr>
            <w:t>29</w:t>
          </w:r>
          <w:r>
            <w:rPr>
              <w:rFonts w:hint="eastAsia"/>
              <w:color w:val="auto"/>
            </w:rPr>
            <w:fldChar w:fldCharType="end"/>
          </w:r>
          <w:r>
            <w:rPr>
              <w:rFonts w:hint="eastAsia"/>
              <w:color w:val="auto"/>
            </w:rPr>
            <w:fldChar w:fldCharType="end"/>
          </w:r>
        </w:p>
        <w:p w14:paraId="4A35D9A4">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"_Toc225513188" </w:instrText>
          </w:r>
          <w:r>
            <w:rPr>
              <w:color w:val="auto"/>
            </w:rPr>
            <w:fldChar w:fldCharType="separate"/>
          </w:r>
          <w:r>
            <w:rPr>
              <w:rStyle w:val="36"/>
              <w:rFonts w:hint="eastAsia" w:ascii="楷体_GB2312" w:hAnsi="楷体_GB2312" w:cs="楷体_GB2312"/>
              <w:color w:val="auto"/>
            </w:rPr>
            <w:t>第二章 布局新兴产业，增强发展动能</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_Toc225513188 \h</w:instrText>
          </w:r>
          <w:r>
            <w:rPr>
              <w:rFonts w:hint="eastAsia"/>
              <w:color w:val="auto"/>
            </w:rPr>
            <w:instrText xml:space="preserve"> </w:instrText>
          </w:r>
          <w:r>
            <w:rPr>
              <w:rFonts w:hint="eastAsia"/>
              <w:color w:val="auto"/>
            </w:rPr>
            <w:fldChar w:fldCharType="separate"/>
          </w:r>
          <w:r>
            <w:rPr>
              <w:color w:val="auto"/>
            </w:rPr>
            <w:t>30</w:t>
          </w:r>
          <w:r>
            <w:rPr>
              <w:rFonts w:hint="eastAsia"/>
              <w:color w:val="auto"/>
            </w:rPr>
            <w:fldChar w:fldCharType="end"/>
          </w:r>
          <w:r>
            <w:rPr>
              <w:rFonts w:hint="eastAsia"/>
              <w:color w:val="auto"/>
            </w:rPr>
            <w:fldChar w:fldCharType="end"/>
          </w:r>
        </w:p>
        <w:p w14:paraId="0EEB35C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"_Toc225513189" </w:instrText>
          </w:r>
          <w:r>
            <w:rPr>
              <w:color w:val="auto"/>
            </w:rPr>
            <w:fldChar w:fldCharType="separate"/>
          </w:r>
          <w:r>
            <w:rPr>
              <w:rStyle w:val="36"/>
              <w:rFonts w:hint="eastAsia" w:ascii="仿宋_GB2312"/>
              <w:color w:val="auto"/>
            </w:rPr>
            <w:t>一、新能源产业：聚力推进储能建设与应用</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_Toc225513189 \h</w:instrText>
          </w:r>
          <w:r>
            <w:rPr>
              <w:rFonts w:hint="eastAsia"/>
              <w:color w:val="auto"/>
            </w:rPr>
            <w:instrText xml:space="preserve"> </w:instrText>
          </w:r>
          <w:r>
            <w:rPr>
              <w:rFonts w:hint="eastAsia"/>
              <w:color w:val="auto"/>
            </w:rPr>
            <w:fldChar w:fldCharType="separate"/>
          </w:r>
          <w:r>
            <w:rPr>
              <w:color w:val="auto"/>
            </w:rPr>
            <w:t>30</w:t>
          </w:r>
          <w:r>
            <w:rPr>
              <w:rFonts w:hint="eastAsia"/>
              <w:color w:val="auto"/>
            </w:rPr>
            <w:fldChar w:fldCharType="end"/>
          </w:r>
          <w:r>
            <w:rPr>
              <w:rFonts w:hint="eastAsia"/>
              <w:color w:val="auto"/>
            </w:rPr>
            <w:fldChar w:fldCharType="end"/>
          </w:r>
        </w:p>
        <w:p w14:paraId="707A0A65">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"_Toc225513190" </w:instrText>
          </w:r>
          <w:r>
            <w:rPr>
              <w:color w:val="auto"/>
            </w:rPr>
            <w:fldChar w:fldCharType="separate"/>
          </w:r>
          <w:r>
            <w:rPr>
              <w:rStyle w:val="36"/>
              <w:rFonts w:hint="eastAsia" w:ascii="仿宋_GB2312"/>
              <w:color w:val="auto"/>
            </w:rPr>
            <w:t>二、新材料产业：发掘资源潜力，实现跨界赋能</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_Toc225513190 \h</w:instrText>
          </w:r>
          <w:r>
            <w:rPr>
              <w:rFonts w:hint="eastAsia"/>
              <w:color w:val="auto"/>
            </w:rPr>
            <w:instrText xml:space="preserve"> </w:instrText>
          </w:r>
          <w:r>
            <w:rPr>
              <w:rFonts w:hint="eastAsia"/>
              <w:color w:val="auto"/>
            </w:rPr>
            <w:fldChar w:fldCharType="separate"/>
          </w:r>
          <w:r>
            <w:rPr>
              <w:color w:val="auto"/>
            </w:rPr>
            <w:t>30</w:t>
          </w:r>
          <w:r>
            <w:rPr>
              <w:rFonts w:hint="eastAsia"/>
              <w:color w:val="auto"/>
            </w:rPr>
            <w:fldChar w:fldCharType="end"/>
          </w:r>
          <w:r>
            <w:rPr>
              <w:rFonts w:hint="eastAsia"/>
              <w:color w:val="auto"/>
            </w:rPr>
            <w:fldChar w:fldCharType="end"/>
          </w:r>
        </w:p>
        <w:p w14:paraId="14EDCA5E">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"_Toc225513191" </w:instrText>
          </w:r>
          <w:r>
            <w:rPr>
              <w:color w:val="auto"/>
            </w:rPr>
            <w:fldChar w:fldCharType="separate"/>
          </w:r>
          <w:r>
            <w:rPr>
              <w:rStyle w:val="36"/>
              <w:rFonts w:hint="eastAsia"/>
              <w:color w:val="auto"/>
            </w:rPr>
            <w:t>三、电子信息产业：对接全市布局</w:t>
          </w:r>
          <w:r>
            <w:rPr>
              <w:rStyle w:val="36"/>
              <w:rFonts w:hint="eastAsia" w:ascii="仿宋_GB2312"/>
              <w:color w:val="auto"/>
            </w:rPr>
            <w:t>，推进差异化发展</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_Toc225513191 \h</w:instrText>
          </w:r>
          <w:r>
            <w:rPr>
              <w:rFonts w:hint="eastAsia"/>
              <w:color w:val="auto"/>
            </w:rPr>
            <w:instrText xml:space="preserve"> </w:instrText>
          </w:r>
          <w:r>
            <w:rPr>
              <w:rFonts w:hint="eastAsia"/>
              <w:color w:val="auto"/>
            </w:rPr>
            <w:fldChar w:fldCharType="separate"/>
          </w:r>
          <w:r>
            <w:rPr>
              <w:color w:val="auto"/>
            </w:rPr>
            <w:t>31</w:t>
          </w:r>
          <w:r>
            <w:rPr>
              <w:rFonts w:hint="eastAsia"/>
              <w:color w:val="auto"/>
            </w:rPr>
            <w:fldChar w:fldCharType="end"/>
          </w:r>
          <w:r>
            <w:rPr>
              <w:rFonts w:hint="eastAsia"/>
              <w:color w:val="auto"/>
            </w:rPr>
            <w:fldChar w:fldCharType="end"/>
          </w:r>
        </w:p>
        <w:p w14:paraId="01792D6D">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"_Toc225513192" </w:instrText>
          </w:r>
          <w:r>
            <w:rPr>
              <w:color w:val="auto"/>
            </w:rPr>
            <w:fldChar w:fldCharType="separate"/>
          </w:r>
          <w:r>
            <w:rPr>
              <w:rStyle w:val="36"/>
              <w:rFonts w:hint="eastAsia" w:ascii="楷体_GB2312" w:hAnsi="楷体_GB2312" w:cs="楷体_GB2312"/>
              <w:color w:val="auto"/>
            </w:rPr>
            <w:t>第三章 培育未来产业，抢抓发展先机</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_Toc225513192 \h</w:instrText>
          </w:r>
          <w:r>
            <w:rPr>
              <w:rFonts w:hint="eastAsia"/>
              <w:color w:val="auto"/>
            </w:rPr>
            <w:instrText xml:space="preserve"> </w:instrText>
          </w:r>
          <w:r>
            <w:rPr>
              <w:rFonts w:hint="eastAsia"/>
              <w:color w:val="auto"/>
            </w:rPr>
            <w:fldChar w:fldCharType="separate"/>
          </w:r>
          <w:r>
            <w:rPr>
              <w:color w:val="auto"/>
            </w:rPr>
            <w:t>31</w:t>
          </w:r>
          <w:r>
            <w:rPr>
              <w:rFonts w:hint="eastAsia"/>
              <w:color w:val="auto"/>
            </w:rPr>
            <w:fldChar w:fldCharType="end"/>
          </w:r>
          <w:r>
            <w:rPr>
              <w:rFonts w:hint="eastAsia"/>
              <w:color w:val="auto"/>
            </w:rPr>
            <w:fldChar w:fldCharType="end"/>
          </w:r>
        </w:p>
        <w:p w14:paraId="20D067B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"_Toc225513193" </w:instrText>
          </w:r>
          <w:r>
            <w:rPr>
              <w:color w:val="auto"/>
            </w:rPr>
            <w:fldChar w:fldCharType="separate"/>
          </w:r>
          <w:r>
            <w:rPr>
              <w:rStyle w:val="36"/>
              <w:rFonts w:hint="eastAsia"/>
              <w:color w:val="auto"/>
            </w:rPr>
            <w:t>一、低空经济产业：借势打造太行山低空应用场景</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_Toc225513193 \h</w:instrText>
          </w:r>
          <w:r>
            <w:rPr>
              <w:rFonts w:hint="eastAsia"/>
              <w:color w:val="auto"/>
            </w:rPr>
            <w:instrText xml:space="preserve"> </w:instrText>
          </w:r>
          <w:r>
            <w:rPr>
              <w:rFonts w:hint="eastAsia"/>
              <w:color w:val="auto"/>
            </w:rPr>
            <w:fldChar w:fldCharType="separate"/>
          </w:r>
          <w:r>
            <w:rPr>
              <w:color w:val="auto"/>
            </w:rPr>
            <w:t>31</w:t>
          </w:r>
          <w:r>
            <w:rPr>
              <w:rFonts w:hint="eastAsia"/>
              <w:color w:val="auto"/>
            </w:rPr>
            <w:fldChar w:fldCharType="end"/>
          </w:r>
          <w:r>
            <w:rPr>
              <w:rFonts w:hint="eastAsia"/>
              <w:color w:val="auto"/>
            </w:rPr>
            <w:fldChar w:fldCharType="end"/>
          </w:r>
        </w:p>
        <w:p w14:paraId="7626DADF">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"_Toc225513194" </w:instrText>
          </w:r>
          <w:r>
            <w:rPr>
              <w:color w:val="auto"/>
            </w:rPr>
            <w:fldChar w:fldCharType="separate"/>
          </w:r>
          <w:r>
            <w:rPr>
              <w:rStyle w:val="36"/>
              <w:rFonts w:hint="eastAsia"/>
              <w:color w:val="auto"/>
            </w:rPr>
            <w:t>二、</w:t>
          </w:r>
          <w:r>
            <w:rPr>
              <w:rStyle w:val="36"/>
              <w:rFonts w:hint="eastAsia"/>
              <w:color w:val="auto"/>
              <w:lang w:val="zh-CN"/>
            </w:rPr>
            <w:t>应急装备产业：全力满足区域应急需求</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_Toc225513194 \h</w:instrText>
          </w:r>
          <w:r>
            <w:rPr>
              <w:rFonts w:hint="eastAsia"/>
              <w:color w:val="auto"/>
            </w:rPr>
            <w:instrText xml:space="preserve"> </w:instrText>
          </w:r>
          <w:r>
            <w:rPr>
              <w:rFonts w:hint="eastAsia"/>
              <w:color w:val="auto"/>
            </w:rPr>
            <w:fldChar w:fldCharType="separate"/>
          </w:r>
          <w:r>
            <w:rPr>
              <w:color w:val="auto"/>
            </w:rPr>
            <w:t>32</w:t>
          </w:r>
          <w:r>
            <w:rPr>
              <w:rFonts w:hint="eastAsia"/>
              <w:color w:val="auto"/>
            </w:rPr>
            <w:fldChar w:fldCharType="end"/>
          </w:r>
          <w:r>
            <w:rPr>
              <w:rFonts w:hint="eastAsia"/>
              <w:color w:val="auto"/>
            </w:rPr>
            <w:fldChar w:fldCharType="end"/>
          </w:r>
        </w:p>
        <w:p w14:paraId="4BA7A618">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"_Toc225513195" </w:instrText>
          </w:r>
          <w:r>
            <w:rPr>
              <w:color w:val="auto"/>
            </w:rPr>
            <w:fldChar w:fldCharType="separate"/>
          </w:r>
          <w:r>
            <w:rPr>
              <w:rStyle w:val="36"/>
              <w:rFonts w:hint="eastAsia"/>
              <w:color w:val="auto"/>
            </w:rPr>
            <w:t>三、数字产业：充分释放数据要素价值</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_Toc225513195 \h</w:instrText>
          </w:r>
          <w:r>
            <w:rPr>
              <w:rFonts w:hint="eastAsia"/>
              <w:color w:val="auto"/>
            </w:rPr>
            <w:instrText xml:space="preserve"> </w:instrText>
          </w:r>
          <w:r>
            <w:rPr>
              <w:rFonts w:hint="eastAsia"/>
              <w:color w:val="auto"/>
            </w:rPr>
            <w:fldChar w:fldCharType="separate"/>
          </w:r>
          <w:r>
            <w:rPr>
              <w:color w:val="auto"/>
            </w:rPr>
            <w:t>32</w:t>
          </w:r>
          <w:r>
            <w:rPr>
              <w:rFonts w:hint="eastAsia"/>
              <w:color w:val="auto"/>
            </w:rPr>
            <w:fldChar w:fldCharType="end"/>
          </w:r>
          <w:r>
            <w:rPr>
              <w:rFonts w:hint="eastAsia"/>
              <w:color w:val="auto"/>
            </w:rPr>
            <w:fldChar w:fldCharType="end"/>
          </w:r>
        </w:p>
        <w:p w14:paraId="799BB95D">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"_Toc225513196" </w:instrText>
          </w:r>
          <w:r>
            <w:rPr>
              <w:color w:val="auto"/>
            </w:rPr>
            <w:fldChar w:fldCharType="separate"/>
          </w:r>
          <w:r>
            <w:rPr>
              <w:rStyle w:val="36"/>
              <w:rFonts w:hint="eastAsia" w:ascii="楷体_GB2312" w:hAnsi="楷体_GB2312" w:cs="楷体_GB2312"/>
              <w:color w:val="auto"/>
            </w:rPr>
            <w:t>第四章 发展现代服务业，增强县域经济活力</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_Toc225513196 \h</w:instrText>
          </w:r>
          <w:r>
            <w:rPr>
              <w:rFonts w:hint="eastAsia"/>
              <w:color w:val="auto"/>
            </w:rPr>
            <w:instrText xml:space="preserve"> </w:instrText>
          </w:r>
          <w:r>
            <w:rPr>
              <w:rFonts w:hint="eastAsia"/>
              <w:color w:val="auto"/>
            </w:rPr>
            <w:fldChar w:fldCharType="separate"/>
          </w:r>
          <w:r>
            <w:rPr>
              <w:color w:val="auto"/>
            </w:rPr>
            <w:t>33</w:t>
          </w:r>
          <w:r>
            <w:rPr>
              <w:rFonts w:hint="eastAsia"/>
              <w:color w:val="auto"/>
            </w:rPr>
            <w:fldChar w:fldCharType="end"/>
          </w:r>
          <w:r>
            <w:rPr>
              <w:rFonts w:hint="eastAsia"/>
              <w:color w:val="auto"/>
            </w:rPr>
            <w:fldChar w:fldCharType="end"/>
          </w:r>
        </w:p>
        <w:p w14:paraId="66230C0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"_Toc225513197" </w:instrText>
          </w:r>
          <w:r>
            <w:rPr>
              <w:color w:val="auto"/>
            </w:rPr>
            <w:fldChar w:fldCharType="separate"/>
          </w:r>
          <w:r>
            <w:rPr>
              <w:rStyle w:val="36"/>
              <w:rFonts w:hint="eastAsia" w:ascii="仿宋_GB2312"/>
              <w:color w:val="auto"/>
            </w:rPr>
            <w:t>一、构建现代物流服务体系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_Toc225513197 \h</w:instrText>
          </w:r>
          <w:r>
            <w:rPr>
              <w:rFonts w:hint="eastAsia"/>
              <w:color w:val="auto"/>
            </w:rPr>
            <w:instrText xml:space="preserve"> </w:instrText>
          </w:r>
          <w:r>
            <w:rPr>
              <w:rFonts w:hint="eastAsia"/>
              <w:color w:val="auto"/>
            </w:rPr>
            <w:fldChar w:fldCharType="separate"/>
          </w:r>
          <w:r>
            <w:rPr>
              <w:color w:val="auto"/>
            </w:rPr>
            <w:t>33</w:t>
          </w:r>
          <w:r>
            <w:rPr>
              <w:rFonts w:hint="eastAsia"/>
              <w:color w:val="auto"/>
            </w:rPr>
            <w:fldChar w:fldCharType="end"/>
          </w:r>
          <w:r>
            <w:rPr>
              <w:rFonts w:hint="eastAsia"/>
              <w:color w:val="auto"/>
            </w:rPr>
            <w:fldChar w:fldCharType="end"/>
          </w:r>
        </w:p>
        <w:p w14:paraId="69919ACC">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"_Toc225513198" </w:instrText>
          </w:r>
          <w:r>
            <w:rPr>
              <w:color w:val="auto"/>
            </w:rPr>
            <w:fldChar w:fldCharType="separate"/>
          </w:r>
          <w:r>
            <w:rPr>
              <w:rStyle w:val="36"/>
              <w:rFonts w:hint="eastAsia" w:ascii="仿宋_GB2312"/>
              <w:color w:val="auto"/>
            </w:rPr>
            <w:t>二、促进商贸服务业提质升级</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_Toc225513198 \h</w:instrText>
          </w:r>
          <w:r>
            <w:rPr>
              <w:rFonts w:hint="eastAsia"/>
              <w:color w:val="auto"/>
            </w:rPr>
            <w:instrText xml:space="preserve"> </w:instrText>
          </w:r>
          <w:r>
            <w:rPr>
              <w:rFonts w:hint="eastAsia"/>
              <w:color w:val="auto"/>
            </w:rPr>
            <w:fldChar w:fldCharType="separate"/>
          </w:r>
          <w:r>
            <w:rPr>
              <w:color w:val="auto"/>
            </w:rPr>
            <w:t>33</w:t>
          </w:r>
          <w:r>
            <w:rPr>
              <w:rFonts w:hint="eastAsia"/>
              <w:color w:val="auto"/>
            </w:rPr>
            <w:fldChar w:fldCharType="end"/>
          </w:r>
          <w:r>
            <w:rPr>
              <w:rFonts w:hint="eastAsia"/>
              <w:color w:val="auto"/>
            </w:rPr>
            <w:fldChar w:fldCharType="end"/>
          </w:r>
        </w:p>
        <w:p w14:paraId="11EC62AC">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"_Toc225513199" </w:instrText>
          </w:r>
          <w:r>
            <w:rPr>
              <w:color w:val="auto"/>
            </w:rPr>
            <w:fldChar w:fldCharType="separate"/>
          </w:r>
          <w:r>
            <w:rPr>
              <w:rStyle w:val="36"/>
              <w:rFonts w:hint="eastAsia" w:ascii="仿宋_GB2312"/>
              <w:color w:val="auto"/>
            </w:rPr>
            <w:t>三、发展生产性服务业</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_Toc225513199 \h</w:instrText>
          </w:r>
          <w:r>
            <w:rPr>
              <w:rFonts w:hint="eastAsia"/>
              <w:color w:val="auto"/>
            </w:rPr>
            <w:instrText xml:space="preserve"> </w:instrText>
          </w:r>
          <w:r>
            <w:rPr>
              <w:rFonts w:hint="eastAsia"/>
              <w:color w:val="auto"/>
            </w:rPr>
            <w:fldChar w:fldCharType="separate"/>
          </w:r>
          <w:r>
            <w:rPr>
              <w:color w:val="auto"/>
            </w:rPr>
            <w:t>34</w:t>
          </w:r>
          <w:r>
            <w:rPr>
              <w:rFonts w:hint="eastAsia"/>
              <w:color w:val="auto"/>
            </w:rPr>
            <w:fldChar w:fldCharType="end"/>
          </w:r>
          <w:r>
            <w:rPr>
              <w:rFonts w:hint="eastAsia"/>
              <w:color w:val="auto"/>
            </w:rPr>
            <w:fldChar w:fldCharType="end"/>
          </w:r>
        </w:p>
        <w:p w14:paraId="34921CCD">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"_Toc225513200" </w:instrText>
          </w:r>
          <w:r>
            <w:rPr>
              <w:color w:val="auto"/>
            </w:rPr>
            <w:fldChar w:fldCharType="separate"/>
          </w:r>
          <w:r>
            <w:rPr>
              <w:rStyle w:val="36"/>
              <w:rFonts w:hint="eastAsia" w:ascii="楷体_GB2312" w:hAnsi="楷体_GB2312" w:cs="楷体_GB2312"/>
              <w:color w:val="auto"/>
            </w:rPr>
            <w:t>第五章 深化质量强县建设，提升产业抗风险韧性</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_Toc225513200 \h</w:instrText>
          </w:r>
          <w:r>
            <w:rPr>
              <w:rFonts w:hint="eastAsia"/>
              <w:color w:val="auto"/>
            </w:rPr>
            <w:instrText xml:space="preserve"> </w:instrText>
          </w:r>
          <w:r>
            <w:rPr>
              <w:rFonts w:hint="eastAsia"/>
              <w:color w:val="auto"/>
            </w:rPr>
            <w:fldChar w:fldCharType="separate"/>
          </w:r>
          <w:r>
            <w:rPr>
              <w:color w:val="auto"/>
            </w:rPr>
            <w:t>35</w:t>
          </w:r>
          <w:r>
            <w:rPr>
              <w:rFonts w:hint="eastAsia"/>
              <w:color w:val="auto"/>
            </w:rPr>
            <w:fldChar w:fldCharType="end"/>
          </w:r>
          <w:r>
            <w:rPr>
              <w:rFonts w:hint="eastAsia"/>
              <w:color w:val="auto"/>
            </w:rPr>
            <w:fldChar w:fldCharType="end"/>
          </w:r>
        </w:p>
        <w:p w14:paraId="6467C6C7">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"_Toc225513201" </w:instrText>
          </w:r>
          <w:r>
            <w:rPr>
              <w:color w:val="auto"/>
            </w:rPr>
            <w:fldChar w:fldCharType="separate"/>
          </w:r>
          <w:r>
            <w:rPr>
              <w:rStyle w:val="36"/>
              <w:rFonts w:hint="eastAsia" w:ascii="仿宋_GB2312"/>
              <w:color w:val="auto"/>
            </w:rPr>
            <w:t>一、强化标准引领作用</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_Toc225513201 \h</w:instrText>
          </w:r>
          <w:r>
            <w:rPr>
              <w:rFonts w:hint="eastAsia"/>
              <w:color w:val="auto"/>
            </w:rPr>
            <w:instrText xml:space="preserve"> </w:instrText>
          </w:r>
          <w:r>
            <w:rPr>
              <w:rFonts w:hint="eastAsia"/>
              <w:color w:val="auto"/>
            </w:rPr>
            <w:fldChar w:fldCharType="separate"/>
          </w:r>
          <w:r>
            <w:rPr>
              <w:color w:val="auto"/>
            </w:rPr>
            <w:t>35</w:t>
          </w:r>
          <w:r>
            <w:rPr>
              <w:rFonts w:hint="eastAsia"/>
              <w:color w:val="auto"/>
            </w:rPr>
            <w:fldChar w:fldCharType="end"/>
          </w:r>
          <w:r>
            <w:rPr>
              <w:rFonts w:hint="eastAsia"/>
              <w:color w:val="auto"/>
            </w:rPr>
            <w:fldChar w:fldCharType="end"/>
          </w:r>
        </w:p>
        <w:p w14:paraId="7C41A61E">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"_Toc225513202" </w:instrText>
          </w:r>
          <w:r>
            <w:rPr>
              <w:color w:val="auto"/>
            </w:rPr>
            <w:fldChar w:fldCharType="separate"/>
          </w:r>
          <w:r>
            <w:rPr>
              <w:rStyle w:val="36"/>
              <w:rFonts w:hint="eastAsia" w:ascii="仿宋_GB2312"/>
              <w:color w:val="auto"/>
            </w:rPr>
            <w:t>二、完善质量管控与保障</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_Toc225513202 \h</w:instrText>
          </w:r>
          <w:r>
            <w:rPr>
              <w:rFonts w:hint="eastAsia"/>
              <w:color w:val="auto"/>
            </w:rPr>
            <w:instrText xml:space="preserve"> </w:instrText>
          </w:r>
          <w:r>
            <w:rPr>
              <w:rFonts w:hint="eastAsia"/>
              <w:color w:val="auto"/>
            </w:rPr>
            <w:fldChar w:fldCharType="separate"/>
          </w:r>
          <w:r>
            <w:rPr>
              <w:color w:val="auto"/>
            </w:rPr>
            <w:t>35</w:t>
          </w:r>
          <w:r>
            <w:rPr>
              <w:rFonts w:hint="eastAsia"/>
              <w:color w:val="auto"/>
            </w:rPr>
            <w:fldChar w:fldCharType="end"/>
          </w:r>
          <w:r>
            <w:rPr>
              <w:rFonts w:hint="eastAsia"/>
              <w:color w:val="auto"/>
            </w:rPr>
            <w:fldChar w:fldCharType="end"/>
          </w:r>
        </w:p>
        <w:p w14:paraId="7D8EC754">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"_Toc225513203" </w:instrText>
          </w:r>
          <w:r>
            <w:rPr>
              <w:color w:val="auto"/>
            </w:rPr>
            <w:fldChar w:fldCharType="separate"/>
          </w:r>
          <w:r>
            <w:rPr>
              <w:rStyle w:val="36"/>
              <w:rFonts w:hint="eastAsia" w:ascii="仿宋_GB2312"/>
              <w:color w:val="auto"/>
            </w:rPr>
            <w:t>三、提升产业风险防控水平</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_Toc225513203 \h</w:instrText>
          </w:r>
          <w:r>
            <w:rPr>
              <w:rFonts w:hint="eastAsia"/>
              <w:color w:val="auto"/>
            </w:rPr>
            <w:instrText xml:space="preserve"> </w:instrText>
          </w:r>
          <w:r>
            <w:rPr>
              <w:rFonts w:hint="eastAsia"/>
              <w:color w:val="auto"/>
            </w:rPr>
            <w:fldChar w:fldCharType="separate"/>
          </w:r>
          <w:r>
            <w:rPr>
              <w:color w:val="auto"/>
            </w:rPr>
            <w:t>36</w:t>
          </w:r>
          <w:r>
            <w:rPr>
              <w:rFonts w:hint="eastAsia"/>
              <w:color w:val="auto"/>
            </w:rPr>
            <w:fldChar w:fldCharType="end"/>
          </w:r>
          <w:r>
            <w:rPr>
              <w:rFonts w:hint="eastAsia"/>
              <w:color w:val="auto"/>
            </w:rPr>
            <w:fldChar w:fldCharType="end"/>
          </w:r>
        </w:p>
        <w:p w14:paraId="6981DA3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"_Toc225513204" </w:instrText>
          </w:r>
          <w:r>
            <w:rPr>
              <w:color w:val="auto"/>
            </w:rPr>
            <w:fldChar w:fldCharType="separate"/>
          </w:r>
          <w:r>
            <w:rPr>
              <w:rStyle w:val="36"/>
              <w:rFonts w:hint="eastAsia" w:ascii="仿宋_GB2312"/>
              <w:color w:val="auto"/>
            </w:rPr>
            <w:t>四、健全生产要素保障体系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_Toc225513204 \h</w:instrText>
          </w:r>
          <w:r>
            <w:rPr>
              <w:rFonts w:hint="eastAsia"/>
              <w:color w:val="auto"/>
            </w:rPr>
            <w:instrText xml:space="preserve"> </w:instrText>
          </w:r>
          <w:r>
            <w:rPr>
              <w:rFonts w:hint="eastAsia"/>
              <w:color w:val="auto"/>
            </w:rPr>
            <w:fldChar w:fldCharType="separate"/>
          </w:r>
          <w:r>
            <w:rPr>
              <w:color w:val="auto"/>
            </w:rPr>
            <w:t>36</w:t>
          </w:r>
          <w:r>
            <w:rPr>
              <w:rFonts w:hint="eastAsia"/>
              <w:color w:val="auto"/>
            </w:rPr>
            <w:fldChar w:fldCharType="end"/>
          </w:r>
          <w:r>
            <w:rPr>
              <w:rFonts w:hint="eastAsia"/>
              <w:color w:val="auto"/>
            </w:rPr>
            <w:fldChar w:fldCharType="end"/>
          </w:r>
        </w:p>
        <w:p w14:paraId="359DAE86">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"_Toc225513205" </w:instrText>
          </w:r>
          <w:r>
            <w:rPr>
              <w:color w:val="auto"/>
            </w:rPr>
            <w:fldChar w:fldCharType="separate"/>
          </w:r>
          <w:r>
            <w:rPr>
              <w:rStyle w:val="36"/>
              <w:rFonts w:hint="eastAsia"/>
              <w:color w:val="auto"/>
            </w:rPr>
            <w:t>第三篇 聚焦新质生产力，激活创新发展动能</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_Toc225513205 \h</w:instrText>
          </w:r>
          <w:r>
            <w:rPr>
              <w:rFonts w:hint="eastAsia"/>
              <w:color w:val="auto"/>
            </w:rPr>
            <w:instrText xml:space="preserve"> </w:instrText>
          </w:r>
          <w:r>
            <w:rPr>
              <w:rFonts w:hint="eastAsia"/>
              <w:color w:val="auto"/>
            </w:rPr>
            <w:fldChar w:fldCharType="separate"/>
          </w:r>
          <w:r>
            <w:rPr>
              <w:color w:val="auto"/>
            </w:rPr>
            <w:t>38</w:t>
          </w:r>
          <w:r>
            <w:rPr>
              <w:rFonts w:hint="eastAsia"/>
              <w:color w:val="auto"/>
            </w:rPr>
            <w:fldChar w:fldCharType="end"/>
          </w:r>
          <w:r>
            <w:rPr>
              <w:rFonts w:hint="eastAsia"/>
              <w:color w:val="auto"/>
            </w:rPr>
            <w:fldChar w:fldCharType="end"/>
          </w:r>
        </w:p>
        <w:p w14:paraId="7D3D2125">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"_Toc225513206" </w:instrText>
          </w:r>
          <w:r>
            <w:rPr>
              <w:color w:val="auto"/>
            </w:rPr>
            <w:fldChar w:fldCharType="separate"/>
          </w:r>
          <w:r>
            <w:rPr>
              <w:rStyle w:val="36"/>
              <w:rFonts w:hint="eastAsia" w:ascii="楷体_GB2312" w:hAnsi="楷体_GB2312" w:cs="楷体_GB2312"/>
              <w:color w:val="auto"/>
            </w:rPr>
            <w:t>第一章 加强西柏坡经济开发区载体建设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_Toc225513206 \h</w:instrText>
          </w:r>
          <w:r>
            <w:rPr>
              <w:rFonts w:hint="eastAsia"/>
              <w:color w:val="auto"/>
            </w:rPr>
            <w:instrText xml:space="preserve"> </w:instrText>
          </w:r>
          <w:r>
            <w:rPr>
              <w:rFonts w:hint="eastAsia"/>
              <w:color w:val="auto"/>
            </w:rPr>
            <w:fldChar w:fldCharType="separate"/>
          </w:r>
          <w:r>
            <w:rPr>
              <w:color w:val="auto"/>
            </w:rPr>
            <w:t>38</w:t>
          </w:r>
          <w:r>
            <w:rPr>
              <w:rFonts w:hint="eastAsia"/>
              <w:color w:val="auto"/>
            </w:rPr>
            <w:fldChar w:fldCharType="end"/>
          </w:r>
          <w:r>
            <w:rPr>
              <w:rFonts w:hint="eastAsia"/>
              <w:color w:val="auto"/>
            </w:rPr>
            <w:fldChar w:fldCharType="end"/>
          </w:r>
        </w:p>
        <w:p w14:paraId="2D2D79CF">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"_Toc225513207" </w:instrText>
          </w:r>
          <w:r>
            <w:rPr>
              <w:color w:val="auto"/>
            </w:rPr>
            <w:fldChar w:fldCharType="separate"/>
          </w:r>
          <w:r>
            <w:rPr>
              <w:rStyle w:val="36"/>
              <w:rFonts w:hint="eastAsia" w:ascii="仿宋_GB2312"/>
              <w:color w:val="auto"/>
            </w:rPr>
            <w:t>一、构建高能级创新平台矩阵</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_Toc225513207 \h</w:instrText>
          </w:r>
          <w:r>
            <w:rPr>
              <w:rFonts w:hint="eastAsia"/>
              <w:color w:val="auto"/>
            </w:rPr>
            <w:instrText xml:space="preserve"> </w:instrText>
          </w:r>
          <w:r>
            <w:rPr>
              <w:rFonts w:hint="eastAsia"/>
              <w:color w:val="auto"/>
            </w:rPr>
            <w:fldChar w:fldCharType="separate"/>
          </w:r>
          <w:r>
            <w:rPr>
              <w:color w:val="auto"/>
            </w:rPr>
            <w:t>38</w:t>
          </w:r>
          <w:r>
            <w:rPr>
              <w:rFonts w:hint="eastAsia"/>
              <w:color w:val="auto"/>
            </w:rPr>
            <w:fldChar w:fldCharType="end"/>
          </w:r>
          <w:r>
            <w:rPr>
              <w:rFonts w:hint="eastAsia"/>
              <w:color w:val="auto"/>
            </w:rPr>
            <w:fldChar w:fldCharType="end"/>
          </w:r>
        </w:p>
        <w:p w14:paraId="44A6CD4B">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"_Toc225513208" </w:instrText>
          </w:r>
          <w:r>
            <w:rPr>
              <w:color w:val="auto"/>
            </w:rPr>
            <w:fldChar w:fldCharType="separate"/>
          </w:r>
          <w:r>
            <w:rPr>
              <w:rStyle w:val="36"/>
              <w:rFonts w:hint="eastAsia" w:ascii="仿宋_GB2312"/>
              <w:color w:val="auto"/>
            </w:rPr>
            <w:t>二、提升现代化园区基础设施水平</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_Toc225513208 \h</w:instrText>
          </w:r>
          <w:r>
            <w:rPr>
              <w:rFonts w:hint="eastAsia"/>
              <w:color w:val="auto"/>
            </w:rPr>
            <w:instrText xml:space="preserve"> </w:instrText>
          </w:r>
          <w:r>
            <w:rPr>
              <w:rFonts w:hint="eastAsia"/>
              <w:color w:val="auto"/>
            </w:rPr>
            <w:fldChar w:fldCharType="separate"/>
          </w:r>
          <w:r>
            <w:rPr>
              <w:color w:val="auto"/>
            </w:rPr>
            <w:t>39</w:t>
          </w:r>
          <w:r>
            <w:rPr>
              <w:rFonts w:hint="eastAsia"/>
              <w:color w:val="auto"/>
            </w:rPr>
            <w:fldChar w:fldCharType="end"/>
          </w:r>
          <w:r>
            <w:rPr>
              <w:rFonts w:hint="eastAsia"/>
              <w:color w:val="auto"/>
            </w:rPr>
            <w:fldChar w:fldCharType="end"/>
          </w:r>
        </w:p>
        <w:p w14:paraId="4E1EA0F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"_Toc225513209" </w:instrText>
          </w:r>
          <w:r>
            <w:rPr>
              <w:color w:val="auto"/>
            </w:rPr>
            <w:fldChar w:fldCharType="separate"/>
          </w:r>
          <w:r>
            <w:rPr>
              <w:rStyle w:val="36"/>
              <w:rFonts w:hint="eastAsia"/>
              <w:color w:val="auto"/>
            </w:rPr>
            <w:t>三、推动园区</w:t>
          </w:r>
          <w:r>
            <w:rPr>
              <w:rStyle w:val="36"/>
              <w:rFonts w:hint="eastAsia" w:ascii="仿宋_GB2312"/>
              <w:color w:val="auto"/>
            </w:rPr>
            <w:t>“四个平台”协同共建</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_Toc225513209 \h</w:instrText>
          </w:r>
          <w:r>
            <w:rPr>
              <w:rFonts w:hint="eastAsia"/>
              <w:color w:val="auto"/>
            </w:rPr>
            <w:instrText xml:space="preserve"> </w:instrText>
          </w:r>
          <w:r>
            <w:rPr>
              <w:rFonts w:hint="eastAsia"/>
              <w:color w:val="auto"/>
            </w:rPr>
            <w:fldChar w:fldCharType="separate"/>
          </w:r>
          <w:r>
            <w:rPr>
              <w:color w:val="auto"/>
            </w:rPr>
            <w:t>39</w:t>
          </w:r>
          <w:r>
            <w:rPr>
              <w:rFonts w:hint="eastAsia"/>
              <w:color w:val="auto"/>
            </w:rPr>
            <w:fldChar w:fldCharType="end"/>
          </w:r>
          <w:r>
            <w:rPr>
              <w:rFonts w:hint="eastAsia"/>
              <w:color w:val="auto"/>
            </w:rPr>
            <w:fldChar w:fldCharType="end"/>
          </w:r>
        </w:p>
        <w:p w14:paraId="0811309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"_Toc225513210" </w:instrText>
          </w:r>
          <w:r>
            <w:rPr>
              <w:color w:val="auto"/>
            </w:rPr>
            <w:fldChar w:fldCharType="separate"/>
          </w:r>
          <w:r>
            <w:rPr>
              <w:rStyle w:val="36"/>
              <w:rFonts w:hint="eastAsia"/>
              <w:color w:val="auto"/>
            </w:rPr>
            <w:t>四、持续激发园区发展动能</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_Toc225513210 \h</w:instrText>
          </w:r>
          <w:r>
            <w:rPr>
              <w:rFonts w:hint="eastAsia"/>
              <w:color w:val="auto"/>
            </w:rPr>
            <w:instrText xml:space="preserve"> </w:instrText>
          </w:r>
          <w:r>
            <w:rPr>
              <w:rFonts w:hint="eastAsia"/>
              <w:color w:val="auto"/>
            </w:rPr>
            <w:fldChar w:fldCharType="separate"/>
          </w:r>
          <w:r>
            <w:rPr>
              <w:color w:val="auto"/>
            </w:rPr>
            <w:t>39</w:t>
          </w:r>
          <w:r>
            <w:rPr>
              <w:rFonts w:hint="eastAsia"/>
              <w:color w:val="auto"/>
            </w:rPr>
            <w:fldChar w:fldCharType="end"/>
          </w:r>
          <w:r>
            <w:rPr>
              <w:rFonts w:hint="eastAsia"/>
              <w:color w:val="auto"/>
            </w:rPr>
            <w:fldChar w:fldCharType="end"/>
          </w:r>
        </w:p>
        <w:p w14:paraId="1680FD8D">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"_Toc225513211" </w:instrText>
          </w:r>
          <w:r>
            <w:rPr>
              <w:color w:val="auto"/>
            </w:rPr>
            <w:fldChar w:fldCharType="separate"/>
          </w:r>
          <w:r>
            <w:rPr>
              <w:rStyle w:val="36"/>
              <w:rFonts w:hint="eastAsia" w:ascii="楷体_GB2312" w:hAnsi="楷体_GB2312" w:cs="楷体_GB2312"/>
              <w:color w:val="auto"/>
            </w:rPr>
            <w:t>第二章 强化企业创新主体地位</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_Toc225513211 \h</w:instrText>
          </w:r>
          <w:r>
            <w:rPr>
              <w:rFonts w:hint="eastAsia"/>
              <w:color w:val="auto"/>
            </w:rPr>
            <w:instrText xml:space="preserve"> </w:instrText>
          </w:r>
          <w:r>
            <w:rPr>
              <w:rFonts w:hint="eastAsia"/>
              <w:color w:val="auto"/>
            </w:rPr>
            <w:fldChar w:fldCharType="separate"/>
          </w:r>
          <w:r>
            <w:rPr>
              <w:color w:val="auto"/>
            </w:rPr>
            <w:t>40</w:t>
          </w:r>
          <w:r>
            <w:rPr>
              <w:rFonts w:hint="eastAsia"/>
              <w:color w:val="auto"/>
            </w:rPr>
            <w:fldChar w:fldCharType="end"/>
          </w:r>
          <w:r>
            <w:rPr>
              <w:rFonts w:hint="eastAsia"/>
              <w:color w:val="auto"/>
            </w:rPr>
            <w:fldChar w:fldCharType="end"/>
          </w:r>
        </w:p>
        <w:p w14:paraId="6D8BB9A6">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"_Toc225513212" </w:instrText>
          </w:r>
          <w:r>
            <w:rPr>
              <w:color w:val="auto"/>
            </w:rPr>
            <w:fldChar w:fldCharType="separate"/>
          </w:r>
          <w:r>
            <w:rPr>
              <w:rStyle w:val="36"/>
              <w:rFonts w:hint="eastAsia"/>
              <w:color w:val="auto"/>
            </w:rPr>
            <w:t>一、助力龙头企业创新引领</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_Toc225513212 \h</w:instrText>
          </w:r>
          <w:r>
            <w:rPr>
              <w:rFonts w:hint="eastAsia"/>
              <w:color w:val="auto"/>
            </w:rPr>
            <w:instrText xml:space="preserve"> </w:instrText>
          </w:r>
          <w:r>
            <w:rPr>
              <w:rFonts w:hint="eastAsia"/>
              <w:color w:val="auto"/>
            </w:rPr>
            <w:fldChar w:fldCharType="separate"/>
          </w:r>
          <w:r>
            <w:rPr>
              <w:color w:val="auto"/>
            </w:rPr>
            <w:t>40</w:t>
          </w:r>
          <w:r>
            <w:rPr>
              <w:rFonts w:hint="eastAsia"/>
              <w:color w:val="auto"/>
            </w:rPr>
            <w:fldChar w:fldCharType="end"/>
          </w:r>
          <w:r>
            <w:rPr>
              <w:rFonts w:hint="eastAsia"/>
              <w:color w:val="auto"/>
            </w:rPr>
            <w:fldChar w:fldCharType="end"/>
          </w:r>
        </w:p>
        <w:p w14:paraId="245E14AF">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"_Toc225513213" </w:instrText>
          </w:r>
          <w:r>
            <w:rPr>
              <w:color w:val="auto"/>
            </w:rPr>
            <w:fldChar w:fldCharType="separate"/>
          </w:r>
          <w:r>
            <w:rPr>
              <w:rStyle w:val="36"/>
              <w:rFonts w:hint="eastAsia"/>
              <w:color w:val="auto"/>
            </w:rPr>
            <w:t>二、开展科技型企业梯度培育</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_Toc225513213 \h</w:instrText>
          </w:r>
          <w:r>
            <w:rPr>
              <w:rFonts w:hint="eastAsia"/>
              <w:color w:val="auto"/>
            </w:rPr>
            <w:instrText xml:space="preserve"> </w:instrText>
          </w:r>
          <w:r>
            <w:rPr>
              <w:rFonts w:hint="eastAsia"/>
              <w:color w:val="auto"/>
            </w:rPr>
            <w:fldChar w:fldCharType="separate"/>
          </w:r>
          <w:r>
            <w:rPr>
              <w:color w:val="auto"/>
            </w:rPr>
            <w:t>40</w:t>
          </w:r>
          <w:r>
            <w:rPr>
              <w:rFonts w:hint="eastAsia"/>
              <w:color w:val="auto"/>
            </w:rPr>
            <w:fldChar w:fldCharType="end"/>
          </w:r>
          <w:r>
            <w:rPr>
              <w:rFonts w:hint="eastAsia"/>
              <w:color w:val="auto"/>
            </w:rPr>
            <w:fldChar w:fldCharType="end"/>
          </w:r>
        </w:p>
        <w:p w14:paraId="484C4F5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"_Toc225513214" </w:instrText>
          </w:r>
          <w:r>
            <w:rPr>
              <w:color w:val="auto"/>
            </w:rPr>
            <w:fldChar w:fldCharType="separate"/>
          </w:r>
          <w:r>
            <w:rPr>
              <w:rStyle w:val="36"/>
              <w:rFonts w:hint="eastAsia"/>
              <w:color w:val="auto"/>
            </w:rPr>
            <w:t>三、推动产学研深度融合</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_Toc225513214 \h</w:instrText>
          </w:r>
          <w:r>
            <w:rPr>
              <w:rFonts w:hint="eastAsia"/>
              <w:color w:val="auto"/>
            </w:rPr>
            <w:instrText xml:space="preserve"> </w:instrText>
          </w:r>
          <w:r>
            <w:rPr>
              <w:rFonts w:hint="eastAsia"/>
              <w:color w:val="auto"/>
            </w:rPr>
            <w:fldChar w:fldCharType="separate"/>
          </w:r>
          <w:r>
            <w:rPr>
              <w:color w:val="auto"/>
            </w:rPr>
            <w:t>41</w:t>
          </w:r>
          <w:r>
            <w:rPr>
              <w:rFonts w:hint="eastAsia"/>
              <w:color w:val="auto"/>
            </w:rPr>
            <w:fldChar w:fldCharType="end"/>
          </w:r>
          <w:r>
            <w:rPr>
              <w:rFonts w:hint="eastAsia"/>
              <w:color w:val="auto"/>
            </w:rPr>
            <w:fldChar w:fldCharType="end"/>
          </w:r>
        </w:p>
        <w:p w14:paraId="328BDD26">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"_Toc225513215" </w:instrText>
          </w:r>
          <w:r>
            <w:rPr>
              <w:color w:val="auto"/>
            </w:rPr>
            <w:fldChar w:fldCharType="separate"/>
          </w:r>
          <w:r>
            <w:rPr>
              <w:rStyle w:val="36"/>
              <w:rFonts w:hint="eastAsia" w:ascii="楷体_GB2312" w:hAnsi="楷体_GB2312" w:cs="楷体_GB2312"/>
              <w:color w:val="auto"/>
            </w:rPr>
            <w:t>第三章 加强创新人才队伍建设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_Toc225513215 \h</w:instrText>
          </w:r>
          <w:r>
            <w:rPr>
              <w:rFonts w:hint="eastAsia"/>
              <w:color w:val="auto"/>
            </w:rPr>
            <w:instrText xml:space="preserve"> </w:instrText>
          </w:r>
          <w:r>
            <w:rPr>
              <w:rFonts w:hint="eastAsia"/>
              <w:color w:val="auto"/>
            </w:rPr>
            <w:fldChar w:fldCharType="separate"/>
          </w:r>
          <w:r>
            <w:rPr>
              <w:color w:val="auto"/>
            </w:rPr>
            <w:t>41</w:t>
          </w:r>
          <w:r>
            <w:rPr>
              <w:rFonts w:hint="eastAsia"/>
              <w:color w:val="auto"/>
            </w:rPr>
            <w:fldChar w:fldCharType="end"/>
          </w:r>
          <w:r>
            <w:rPr>
              <w:rFonts w:hint="eastAsia"/>
              <w:color w:val="auto"/>
            </w:rPr>
            <w:fldChar w:fldCharType="end"/>
          </w:r>
        </w:p>
        <w:p w14:paraId="3AAFC4E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"_Toc225513216" </w:instrText>
          </w:r>
          <w:r>
            <w:rPr>
              <w:color w:val="auto"/>
            </w:rPr>
            <w:fldChar w:fldCharType="separate"/>
          </w:r>
          <w:r>
            <w:rPr>
              <w:rStyle w:val="36"/>
              <w:rFonts w:hint="eastAsia" w:ascii="仿宋_GB2312"/>
              <w:color w:val="auto"/>
            </w:rPr>
            <w:t>一、实施“精准靶向”的引才策略</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_Toc225513216 \h</w:instrText>
          </w:r>
          <w:r>
            <w:rPr>
              <w:rFonts w:hint="eastAsia"/>
              <w:color w:val="auto"/>
            </w:rPr>
            <w:instrText xml:space="preserve"> </w:instrText>
          </w:r>
          <w:r>
            <w:rPr>
              <w:rFonts w:hint="eastAsia"/>
              <w:color w:val="auto"/>
            </w:rPr>
            <w:fldChar w:fldCharType="separate"/>
          </w:r>
          <w:r>
            <w:rPr>
              <w:color w:val="auto"/>
            </w:rPr>
            <w:t>41</w:t>
          </w:r>
          <w:r>
            <w:rPr>
              <w:rFonts w:hint="eastAsia"/>
              <w:color w:val="auto"/>
            </w:rPr>
            <w:fldChar w:fldCharType="end"/>
          </w:r>
          <w:r>
            <w:rPr>
              <w:rFonts w:hint="eastAsia"/>
              <w:color w:val="auto"/>
            </w:rPr>
            <w:fldChar w:fldCharType="end"/>
          </w:r>
        </w:p>
        <w:p w14:paraId="0421EAC7">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"_Toc225513217" </w:instrText>
          </w:r>
          <w:r>
            <w:rPr>
              <w:color w:val="auto"/>
            </w:rPr>
            <w:fldChar w:fldCharType="separate"/>
          </w:r>
          <w:r>
            <w:rPr>
              <w:rStyle w:val="36"/>
              <w:rFonts w:hint="eastAsia" w:ascii="仿宋_GB2312"/>
              <w:color w:val="auto"/>
            </w:rPr>
            <w:t>二、构建“产教融合”的育才体系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_Toc225513217 \h</w:instrText>
          </w:r>
          <w:r>
            <w:rPr>
              <w:rFonts w:hint="eastAsia"/>
              <w:color w:val="auto"/>
            </w:rPr>
            <w:instrText xml:space="preserve"> </w:instrText>
          </w:r>
          <w:r>
            <w:rPr>
              <w:rFonts w:hint="eastAsia"/>
              <w:color w:val="auto"/>
            </w:rPr>
            <w:fldChar w:fldCharType="separate"/>
          </w:r>
          <w:r>
            <w:rPr>
              <w:color w:val="auto"/>
            </w:rPr>
            <w:t>41</w:t>
          </w:r>
          <w:r>
            <w:rPr>
              <w:rFonts w:hint="eastAsia"/>
              <w:color w:val="auto"/>
            </w:rPr>
            <w:fldChar w:fldCharType="end"/>
          </w:r>
          <w:r>
            <w:rPr>
              <w:rFonts w:hint="eastAsia"/>
              <w:color w:val="auto"/>
            </w:rPr>
            <w:fldChar w:fldCharType="end"/>
          </w:r>
        </w:p>
        <w:p w14:paraId="24387663">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"_Toc225513218" </w:instrText>
          </w:r>
          <w:r>
            <w:rPr>
              <w:color w:val="auto"/>
            </w:rPr>
            <w:fldChar w:fldCharType="separate"/>
          </w:r>
          <w:r>
            <w:rPr>
              <w:rStyle w:val="36"/>
              <w:rFonts w:hint="eastAsia" w:ascii="仿宋_GB2312"/>
              <w:color w:val="auto"/>
            </w:rPr>
            <w:t>三、优化“暖心安心”的留才环境</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_Toc225513218 \h</w:instrText>
          </w:r>
          <w:r>
            <w:rPr>
              <w:rFonts w:hint="eastAsia"/>
              <w:color w:val="auto"/>
            </w:rPr>
            <w:instrText xml:space="preserve"> </w:instrText>
          </w:r>
          <w:r>
            <w:rPr>
              <w:rFonts w:hint="eastAsia"/>
              <w:color w:val="auto"/>
            </w:rPr>
            <w:fldChar w:fldCharType="separate"/>
          </w:r>
          <w:r>
            <w:rPr>
              <w:color w:val="auto"/>
            </w:rPr>
            <w:t>42</w:t>
          </w:r>
          <w:r>
            <w:rPr>
              <w:rFonts w:hint="eastAsia"/>
              <w:color w:val="auto"/>
            </w:rPr>
            <w:fldChar w:fldCharType="end"/>
          </w:r>
          <w:r>
            <w:rPr>
              <w:rFonts w:hint="eastAsia"/>
              <w:color w:val="auto"/>
            </w:rPr>
            <w:fldChar w:fldCharType="end"/>
          </w:r>
        </w:p>
        <w:p w14:paraId="2522803E">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"_Toc225513219" </w:instrText>
          </w:r>
          <w:r>
            <w:rPr>
              <w:color w:val="auto"/>
            </w:rPr>
            <w:fldChar w:fldCharType="separate"/>
          </w:r>
          <w:r>
            <w:rPr>
              <w:rStyle w:val="36"/>
              <w:rFonts w:hint="eastAsia" w:ascii="楷体_GB2312" w:hAnsi="楷体_GB2312" w:cs="楷体_GB2312"/>
              <w:color w:val="auto"/>
            </w:rPr>
            <w:t>第四章 营造创新发展新业态</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_Toc225513219 \h</w:instrText>
          </w:r>
          <w:r>
            <w:rPr>
              <w:rFonts w:hint="eastAsia"/>
              <w:color w:val="auto"/>
            </w:rPr>
            <w:instrText xml:space="preserve"> </w:instrText>
          </w:r>
          <w:r>
            <w:rPr>
              <w:rFonts w:hint="eastAsia"/>
              <w:color w:val="auto"/>
            </w:rPr>
            <w:fldChar w:fldCharType="separate"/>
          </w:r>
          <w:r>
            <w:rPr>
              <w:color w:val="auto"/>
            </w:rPr>
            <w:t>42</w:t>
          </w:r>
          <w:r>
            <w:rPr>
              <w:rFonts w:hint="eastAsia"/>
              <w:color w:val="auto"/>
            </w:rPr>
            <w:fldChar w:fldCharType="end"/>
          </w:r>
          <w:r>
            <w:rPr>
              <w:rFonts w:hint="eastAsia"/>
              <w:color w:val="auto"/>
            </w:rPr>
            <w:fldChar w:fldCharType="end"/>
          </w:r>
        </w:p>
        <w:p w14:paraId="379EA0EB">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"_Toc225513220" </w:instrText>
          </w:r>
          <w:r>
            <w:rPr>
              <w:color w:val="auto"/>
            </w:rPr>
            <w:fldChar w:fldCharType="separate"/>
          </w:r>
          <w:r>
            <w:rPr>
              <w:rStyle w:val="36"/>
              <w:rFonts w:hint="eastAsia"/>
              <w:color w:val="auto"/>
            </w:rPr>
            <w:t>一、用“数字赋能”创新发展模式</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_Toc225513220 \h</w:instrText>
          </w:r>
          <w:r>
            <w:rPr>
              <w:rFonts w:hint="eastAsia"/>
              <w:color w:val="auto"/>
            </w:rPr>
            <w:instrText xml:space="preserve"> </w:instrText>
          </w:r>
          <w:r>
            <w:rPr>
              <w:rFonts w:hint="eastAsia"/>
              <w:color w:val="auto"/>
            </w:rPr>
            <w:fldChar w:fldCharType="separate"/>
          </w:r>
          <w:r>
            <w:rPr>
              <w:color w:val="auto"/>
            </w:rPr>
            <w:t>42</w:t>
          </w:r>
          <w:r>
            <w:rPr>
              <w:rFonts w:hint="eastAsia"/>
              <w:color w:val="auto"/>
            </w:rPr>
            <w:fldChar w:fldCharType="end"/>
          </w:r>
          <w:r>
            <w:rPr>
              <w:rFonts w:hint="eastAsia"/>
              <w:color w:val="auto"/>
            </w:rPr>
            <w:fldChar w:fldCharType="end"/>
          </w:r>
        </w:p>
        <w:p w14:paraId="5B901B68">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"_Toc225513221" </w:instrText>
          </w:r>
          <w:r>
            <w:rPr>
              <w:color w:val="auto"/>
            </w:rPr>
            <w:fldChar w:fldCharType="separate"/>
          </w:r>
          <w:r>
            <w:rPr>
              <w:rStyle w:val="36"/>
              <w:rFonts w:hint="eastAsia"/>
              <w:color w:val="auto"/>
            </w:rPr>
            <w:t>二、以“场景牵引”拓展创新业态</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_Toc225513221 \h</w:instrText>
          </w:r>
          <w:r>
            <w:rPr>
              <w:rFonts w:hint="eastAsia"/>
              <w:color w:val="auto"/>
            </w:rPr>
            <w:instrText xml:space="preserve"> </w:instrText>
          </w:r>
          <w:r>
            <w:rPr>
              <w:rFonts w:hint="eastAsia"/>
              <w:color w:val="auto"/>
            </w:rPr>
            <w:fldChar w:fldCharType="separate"/>
          </w:r>
          <w:r>
            <w:rPr>
              <w:color w:val="auto"/>
            </w:rPr>
            <w:t>42</w:t>
          </w:r>
          <w:r>
            <w:rPr>
              <w:rFonts w:hint="eastAsia"/>
              <w:color w:val="auto"/>
            </w:rPr>
            <w:fldChar w:fldCharType="end"/>
          </w:r>
          <w:r>
            <w:rPr>
              <w:rFonts w:hint="eastAsia"/>
              <w:color w:val="auto"/>
            </w:rPr>
            <w:fldChar w:fldCharType="end"/>
          </w:r>
        </w:p>
        <w:p w14:paraId="42783BEC">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"_Toc225513222" </w:instrText>
          </w:r>
          <w:r>
            <w:rPr>
              <w:color w:val="auto"/>
            </w:rPr>
            <w:fldChar w:fldCharType="separate"/>
          </w:r>
          <w:r>
            <w:rPr>
              <w:rStyle w:val="36"/>
              <w:rFonts w:hint="eastAsia"/>
              <w:color w:val="auto"/>
            </w:rPr>
            <w:t>三、以“数据要素”服务创新业态</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_Toc225513222 \h</w:instrText>
          </w:r>
          <w:r>
            <w:rPr>
              <w:rFonts w:hint="eastAsia"/>
              <w:color w:val="auto"/>
            </w:rPr>
            <w:instrText xml:space="preserve"> </w:instrText>
          </w:r>
          <w:r>
            <w:rPr>
              <w:rFonts w:hint="eastAsia"/>
              <w:color w:val="auto"/>
            </w:rPr>
            <w:fldChar w:fldCharType="separate"/>
          </w:r>
          <w:r>
            <w:rPr>
              <w:color w:val="auto"/>
            </w:rPr>
            <w:t>43</w:t>
          </w:r>
          <w:r>
            <w:rPr>
              <w:rFonts w:hint="eastAsia"/>
              <w:color w:val="auto"/>
            </w:rPr>
            <w:fldChar w:fldCharType="end"/>
          </w:r>
          <w:r>
            <w:rPr>
              <w:rFonts w:hint="eastAsia"/>
              <w:color w:val="auto"/>
            </w:rPr>
            <w:fldChar w:fldCharType="end"/>
          </w:r>
        </w:p>
        <w:p w14:paraId="199FB018">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"_Toc225513223" </w:instrText>
          </w:r>
          <w:r>
            <w:rPr>
              <w:color w:val="auto"/>
            </w:rPr>
            <w:fldChar w:fldCharType="separate"/>
          </w:r>
          <w:r>
            <w:rPr>
              <w:rStyle w:val="36"/>
              <w:rFonts w:hint="eastAsia"/>
              <w:color w:val="auto"/>
            </w:rPr>
            <w:t>第四篇 红色文化赋能，推进旅游业高质量发展</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_Toc225513223 \h</w:instrText>
          </w:r>
          <w:r>
            <w:rPr>
              <w:rFonts w:hint="eastAsia"/>
              <w:color w:val="auto"/>
            </w:rPr>
            <w:instrText xml:space="preserve"> </w:instrText>
          </w:r>
          <w:r>
            <w:rPr>
              <w:rFonts w:hint="eastAsia"/>
              <w:color w:val="auto"/>
            </w:rPr>
            <w:fldChar w:fldCharType="separate"/>
          </w:r>
          <w:r>
            <w:rPr>
              <w:color w:val="auto"/>
            </w:rPr>
            <w:t>45</w:t>
          </w:r>
          <w:r>
            <w:rPr>
              <w:rFonts w:hint="eastAsia"/>
              <w:color w:val="auto"/>
            </w:rPr>
            <w:fldChar w:fldCharType="end"/>
          </w:r>
          <w:r>
            <w:rPr>
              <w:rFonts w:hint="eastAsia"/>
              <w:color w:val="auto"/>
            </w:rPr>
            <w:fldChar w:fldCharType="end"/>
          </w:r>
        </w:p>
        <w:p w14:paraId="1E3336A7">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"_Toc225513224" </w:instrText>
          </w:r>
          <w:r>
            <w:rPr>
              <w:color w:val="auto"/>
            </w:rPr>
            <w:fldChar w:fldCharType="separate"/>
          </w:r>
          <w:r>
            <w:rPr>
              <w:rStyle w:val="36"/>
              <w:rFonts w:hint="eastAsia" w:ascii="楷体_GB2312" w:hAnsi="楷体_GB2312" w:cs="楷体_GB2312"/>
              <w:color w:val="auto"/>
            </w:rPr>
            <w:t>第一章 发挥红色文化品牌作用，提升文化软实力</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_Toc225513224 \h</w:instrText>
          </w:r>
          <w:r>
            <w:rPr>
              <w:rFonts w:hint="eastAsia"/>
              <w:color w:val="auto"/>
            </w:rPr>
            <w:instrText xml:space="preserve"> </w:instrText>
          </w:r>
          <w:r>
            <w:rPr>
              <w:rFonts w:hint="eastAsia"/>
              <w:color w:val="auto"/>
            </w:rPr>
            <w:fldChar w:fldCharType="separate"/>
          </w:r>
          <w:r>
            <w:rPr>
              <w:color w:val="auto"/>
            </w:rPr>
            <w:t>45</w:t>
          </w:r>
          <w:r>
            <w:rPr>
              <w:rFonts w:hint="eastAsia"/>
              <w:color w:val="auto"/>
            </w:rPr>
            <w:fldChar w:fldCharType="end"/>
          </w:r>
          <w:r>
            <w:rPr>
              <w:rFonts w:hint="eastAsia"/>
              <w:color w:val="auto"/>
            </w:rPr>
            <w:fldChar w:fldCharType="end"/>
          </w:r>
        </w:p>
        <w:p w14:paraId="2DC46568">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"_Toc225513225" </w:instrText>
          </w:r>
          <w:r>
            <w:rPr>
              <w:color w:val="auto"/>
            </w:rPr>
            <w:fldChar w:fldCharType="separate"/>
          </w:r>
          <w:r>
            <w:rPr>
              <w:rStyle w:val="36"/>
              <w:rFonts w:hint="eastAsia"/>
              <w:color w:val="auto"/>
            </w:rPr>
            <w:t>一、激活文化内核，构建红色引领的多元文化谱系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_Toc225513225 \h</w:instrText>
          </w:r>
          <w:r>
            <w:rPr>
              <w:rFonts w:hint="eastAsia"/>
              <w:color w:val="auto"/>
            </w:rPr>
            <w:instrText xml:space="preserve"> </w:instrText>
          </w:r>
          <w:r>
            <w:rPr>
              <w:rFonts w:hint="eastAsia"/>
              <w:color w:val="auto"/>
            </w:rPr>
            <w:fldChar w:fldCharType="separate"/>
          </w:r>
          <w:r>
            <w:rPr>
              <w:color w:val="auto"/>
            </w:rPr>
            <w:t>45</w:t>
          </w:r>
          <w:r>
            <w:rPr>
              <w:rFonts w:hint="eastAsia"/>
              <w:color w:val="auto"/>
            </w:rPr>
            <w:fldChar w:fldCharType="end"/>
          </w:r>
          <w:r>
            <w:rPr>
              <w:rFonts w:hint="eastAsia"/>
              <w:color w:val="auto"/>
            </w:rPr>
            <w:fldChar w:fldCharType="end"/>
          </w:r>
        </w:p>
        <w:p w14:paraId="62731E3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"_Toc225513226" </w:instrText>
          </w:r>
          <w:r>
            <w:rPr>
              <w:color w:val="auto"/>
            </w:rPr>
            <w:fldChar w:fldCharType="separate"/>
          </w:r>
          <w:r>
            <w:rPr>
              <w:rStyle w:val="36"/>
              <w:rFonts w:hint="eastAsia"/>
              <w:color w:val="auto"/>
            </w:rPr>
            <w:t>二、创新宣传矩阵，拓展立体覆盖的传播辐射网络</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_Toc225513226 \h</w:instrText>
          </w:r>
          <w:r>
            <w:rPr>
              <w:rFonts w:hint="eastAsia"/>
              <w:color w:val="auto"/>
            </w:rPr>
            <w:instrText xml:space="preserve"> </w:instrText>
          </w:r>
          <w:r>
            <w:rPr>
              <w:rFonts w:hint="eastAsia"/>
              <w:color w:val="auto"/>
            </w:rPr>
            <w:fldChar w:fldCharType="separate"/>
          </w:r>
          <w:r>
            <w:rPr>
              <w:color w:val="auto"/>
            </w:rPr>
            <w:t>46</w:t>
          </w:r>
          <w:r>
            <w:rPr>
              <w:rFonts w:hint="eastAsia"/>
              <w:color w:val="auto"/>
            </w:rPr>
            <w:fldChar w:fldCharType="end"/>
          </w:r>
          <w:r>
            <w:rPr>
              <w:rFonts w:hint="eastAsia"/>
              <w:color w:val="auto"/>
            </w:rPr>
            <w:fldChar w:fldCharType="end"/>
          </w:r>
        </w:p>
        <w:p w14:paraId="755B499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"_Toc225513227" </w:instrText>
          </w:r>
          <w:r>
            <w:rPr>
              <w:color w:val="auto"/>
            </w:rPr>
            <w:fldChar w:fldCharType="separate"/>
          </w:r>
          <w:r>
            <w:rPr>
              <w:rStyle w:val="36"/>
              <w:rFonts w:hint="eastAsia"/>
              <w:color w:val="auto"/>
            </w:rPr>
            <w:t>三、深化传承融入，推动文化价值转化落地</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_Toc225513227 \h</w:instrText>
          </w:r>
          <w:r>
            <w:rPr>
              <w:rFonts w:hint="eastAsia"/>
              <w:color w:val="auto"/>
            </w:rPr>
            <w:instrText xml:space="preserve"> </w:instrText>
          </w:r>
          <w:r>
            <w:rPr>
              <w:rFonts w:hint="eastAsia"/>
              <w:color w:val="auto"/>
            </w:rPr>
            <w:fldChar w:fldCharType="separate"/>
          </w:r>
          <w:r>
            <w:rPr>
              <w:color w:val="auto"/>
            </w:rPr>
            <w:t>46</w:t>
          </w:r>
          <w:r>
            <w:rPr>
              <w:rFonts w:hint="eastAsia"/>
              <w:color w:val="auto"/>
            </w:rPr>
            <w:fldChar w:fldCharType="end"/>
          </w:r>
          <w:r>
            <w:rPr>
              <w:rFonts w:hint="eastAsia"/>
              <w:color w:val="auto"/>
            </w:rPr>
            <w:fldChar w:fldCharType="end"/>
          </w:r>
        </w:p>
        <w:p w14:paraId="4A225036">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"_Toc225513228" </w:instrText>
          </w:r>
          <w:r>
            <w:rPr>
              <w:color w:val="auto"/>
            </w:rPr>
            <w:fldChar w:fldCharType="separate"/>
          </w:r>
          <w:r>
            <w:rPr>
              <w:rStyle w:val="36"/>
              <w:rFonts w:hint="eastAsia" w:ascii="楷体_GB2312" w:hAnsi="楷体_GB2312" w:cs="楷体_GB2312"/>
              <w:color w:val="auto"/>
            </w:rPr>
            <w:t>第二章 推动文旅深度融合，拓展全域旅游格局</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_Toc225513228 \h</w:instrText>
          </w:r>
          <w:r>
            <w:rPr>
              <w:rFonts w:hint="eastAsia"/>
              <w:color w:val="auto"/>
            </w:rPr>
            <w:instrText xml:space="preserve"> </w:instrText>
          </w:r>
          <w:r>
            <w:rPr>
              <w:rFonts w:hint="eastAsia"/>
              <w:color w:val="auto"/>
            </w:rPr>
            <w:fldChar w:fldCharType="separate"/>
          </w:r>
          <w:r>
            <w:rPr>
              <w:color w:val="auto"/>
            </w:rPr>
            <w:t>47</w:t>
          </w:r>
          <w:r>
            <w:rPr>
              <w:rFonts w:hint="eastAsia"/>
              <w:color w:val="auto"/>
            </w:rPr>
            <w:fldChar w:fldCharType="end"/>
          </w:r>
          <w:r>
            <w:rPr>
              <w:rFonts w:hint="eastAsia"/>
              <w:color w:val="auto"/>
            </w:rPr>
            <w:fldChar w:fldCharType="end"/>
          </w:r>
        </w:p>
        <w:p w14:paraId="216C104B">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"_Toc225513229" </w:instrText>
          </w:r>
          <w:r>
            <w:rPr>
              <w:color w:val="auto"/>
            </w:rPr>
            <w:fldChar w:fldCharType="separate"/>
          </w:r>
          <w:r>
            <w:rPr>
              <w:rStyle w:val="36"/>
              <w:rFonts w:hint="eastAsia"/>
              <w:color w:val="auto"/>
            </w:rPr>
            <w:t>一、提升红色文化旅游品质</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_Toc225513229 \h</w:instrText>
          </w:r>
          <w:r>
            <w:rPr>
              <w:rFonts w:hint="eastAsia"/>
              <w:color w:val="auto"/>
            </w:rPr>
            <w:instrText xml:space="preserve"> </w:instrText>
          </w:r>
          <w:r>
            <w:rPr>
              <w:rFonts w:hint="eastAsia"/>
              <w:color w:val="auto"/>
            </w:rPr>
            <w:fldChar w:fldCharType="separate"/>
          </w:r>
          <w:r>
            <w:rPr>
              <w:color w:val="auto"/>
            </w:rPr>
            <w:t>47</w:t>
          </w:r>
          <w:r>
            <w:rPr>
              <w:rFonts w:hint="eastAsia"/>
              <w:color w:val="auto"/>
            </w:rPr>
            <w:fldChar w:fldCharType="end"/>
          </w:r>
          <w:r>
            <w:rPr>
              <w:rFonts w:hint="eastAsia"/>
              <w:color w:val="auto"/>
            </w:rPr>
            <w:fldChar w:fldCharType="end"/>
          </w:r>
        </w:p>
        <w:p w14:paraId="49B9DD9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"_Toc225513230" </w:instrText>
          </w:r>
          <w:r>
            <w:rPr>
              <w:color w:val="auto"/>
            </w:rPr>
            <w:fldChar w:fldCharType="separate"/>
          </w:r>
          <w:r>
            <w:rPr>
              <w:rStyle w:val="36"/>
              <w:rFonts w:hint="eastAsia"/>
              <w:color w:val="auto"/>
            </w:rPr>
            <w:t>二、打造多元旅游产品体系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_Toc225513230 \h</w:instrText>
          </w:r>
          <w:r>
            <w:rPr>
              <w:rFonts w:hint="eastAsia"/>
              <w:color w:val="auto"/>
            </w:rPr>
            <w:instrText xml:space="preserve"> </w:instrText>
          </w:r>
          <w:r>
            <w:rPr>
              <w:rFonts w:hint="eastAsia"/>
              <w:color w:val="auto"/>
            </w:rPr>
            <w:fldChar w:fldCharType="separate"/>
          </w:r>
          <w:r>
            <w:rPr>
              <w:color w:val="auto"/>
            </w:rPr>
            <w:t>47</w:t>
          </w:r>
          <w:r>
            <w:rPr>
              <w:rFonts w:hint="eastAsia"/>
              <w:color w:val="auto"/>
            </w:rPr>
            <w:fldChar w:fldCharType="end"/>
          </w:r>
          <w:r>
            <w:rPr>
              <w:rFonts w:hint="eastAsia"/>
              <w:color w:val="auto"/>
            </w:rPr>
            <w:fldChar w:fldCharType="end"/>
          </w:r>
        </w:p>
        <w:p w14:paraId="7A75F916">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"_Toc225513231" </w:instrText>
          </w:r>
          <w:r>
            <w:rPr>
              <w:color w:val="auto"/>
            </w:rPr>
            <w:fldChar w:fldCharType="separate"/>
          </w:r>
          <w:r>
            <w:rPr>
              <w:rStyle w:val="36"/>
              <w:rFonts w:hint="eastAsia"/>
              <w:color w:val="auto"/>
            </w:rPr>
            <w:t>三、培育“旅游+”发展新业态</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_Toc225513231 \h</w:instrText>
          </w:r>
          <w:r>
            <w:rPr>
              <w:rFonts w:hint="eastAsia"/>
              <w:color w:val="auto"/>
            </w:rPr>
            <w:instrText xml:space="preserve"> </w:instrText>
          </w:r>
          <w:r>
            <w:rPr>
              <w:rFonts w:hint="eastAsia"/>
              <w:color w:val="auto"/>
            </w:rPr>
            <w:fldChar w:fldCharType="separate"/>
          </w:r>
          <w:r>
            <w:rPr>
              <w:color w:val="auto"/>
            </w:rPr>
            <w:t>48</w:t>
          </w:r>
          <w:r>
            <w:rPr>
              <w:rFonts w:hint="eastAsia"/>
              <w:color w:val="auto"/>
            </w:rPr>
            <w:fldChar w:fldCharType="end"/>
          </w:r>
          <w:r>
            <w:rPr>
              <w:rFonts w:hint="eastAsia"/>
              <w:color w:val="auto"/>
            </w:rPr>
            <w:fldChar w:fldCharType="end"/>
          </w:r>
        </w:p>
        <w:p w14:paraId="1AE1B309">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"_Toc225513232" </w:instrText>
          </w:r>
          <w:r>
            <w:rPr>
              <w:color w:val="auto"/>
            </w:rPr>
            <w:fldChar w:fldCharType="separate"/>
          </w:r>
          <w:r>
            <w:rPr>
              <w:rStyle w:val="36"/>
              <w:rFonts w:hint="eastAsia"/>
              <w:color w:val="auto"/>
            </w:rPr>
            <w:t>第三章 强化旅游服务保障，提升整体发展质量</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_Toc225513232 \h</w:instrText>
          </w:r>
          <w:r>
            <w:rPr>
              <w:rFonts w:hint="eastAsia"/>
              <w:color w:val="auto"/>
            </w:rPr>
            <w:instrText xml:space="preserve"> </w:instrText>
          </w:r>
          <w:r>
            <w:rPr>
              <w:rFonts w:hint="eastAsia"/>
              <w:color w:val="auto"/>
            </w:rPr>
            <w:fldChar w:fldCharType="separate"/>
          </w:r>
          <w:r>
            <w:rPr>
              <w:color w:val="auto"/>
            </w:rPr>
            <w:t>48</w:t>
          </w:r>
          <w:r>
            <w:rPr>
              <w:rFonts w:hint="eastAsia"/>
              <w:color w:val="auto"/>
            </w:rPr>
            <w:fldChar w:fldCharType="end"/>
          </w:r>
          <w:r>
            <w:rPr>
              <w:rFonts w:hint="eastAsia"/>
              <w:color w:val="auto"/>
            </w:rPr>
            <w:fldChar w:fldCharType="end"/>
          </w:r>
        </w:p>
        <w:p w14:paraId="5F9E256D">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"_Toc225513233" </w:instrText>
          </w:r>
          <w:r>
            <w:rPr>
              <w:color w:val="auto"/>
            </w:rPr>
            <w:fldChar w:fldCharType="separate"/>
          </w:r>
          <w:r>
            <w:rPr>
              <w:rStyle w:val="36"/>
              <w:rFonts w:hint="eastAsia"/>
              <w:color w:val="auto"/>
            </w:rPr>
            <w:t>一、构建全域旅游交通网络</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_Toc225513233 \h</w:instrText>
          </w:r>
          <w:r>
            <w:rPr>
              <w:rFonts w:hint="eastAsia"/>
              <w:color w:val="auto"/>
            </w:rPr>
            <w:instrText xml:space="preserve"> </w:instrText>
          </w:r>
          <w:r>
            <w:rPr>
              <w:rFonts w:hint="eastAsia"/>
              <w:color w:val="auto"/>
            </w:rPr>
            <w:fldChar w:fldCharType="separate"/>
          </w:r>
          <w:r>
            <w:rPr>
              <w:color w:val="auto"/>
            </w:rPr>
            <w:t>48</w:t>
          </w:r>
          <w:r>
            <w:rPr>
              <w:rFonts w:hint="eastAsia"/>
              <w:color w:val="auto"/>
            </w:rPr>
            <w:fldChar w:fldCharType="end"/>
          </w:r>
          <w:r>
            <w:rPr>
              <w:rFonts w:hint="eastAsia"/>
              <w:color w:val="auto"/>
            </w:rPr>
            <w:fldChar w:fldCharType="end"/>
          </w:r>
        </w:p>
        <w:p w14:paraId="510EB98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"_Toc225513234" </w:instrText>
          </w:r>
          <w:r>
            <w:rPr>
              <w:color w:val="auto"/>
            </w:rPr>
            <w:fldChar w:fldCharType="separate"/>
          </w:r>
          <w:r>
            <w:rPr>
              <w:rStyle w:val="36"/>
              <w:rFonts w:hint="eastAsia"/>
              <w:color w:val="auto"/>
            </w:rPr>
            <w:t>二、提升文旅品牌传播效能</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_Toc225513234 \h</w:instrText>
          </w:r>
          <w:r>
            <w:rPr>
              <w:rFonts w:hint="eastAsia"/>
              <w:color w:val="auto"/>
            </w:rPr>
            <w:instrText xml:space="preserve"> </w:instrText>
          </w:r>
          <w:r>
            <w:rPr>
              <w:rFonts w:hint="eastAsia"/>
              <w:color w:val="auto"/>
            </w:rPr>
            <w:fldChar w:fldCharType="separate"/>
          </w:r>
          <w:r>
            <w:rPr>
              <w:color w:val="auto"/>
            </w:rPr>
            <w:t>49</w:t>
          </w:r>
          <w:r>
            <w:rPr>
              <w:rFonts w:hint="eastAsia"/>
              <w:color w:val="auto"/>
            </w:rPr>
            <w:fldChar w:fldCharType="end"/>
          </w:r>
          <w:r>
            <w:rPr>
              <w:rFonts w:hint="eastAsia"/>
              <w:color w:val="auto"/>
            </w:rPr>
            <w:fldChar w:fldCharType="end"/>
          </w:r>
        </w:p>
        <w:p w14:paraId="3CF0AF0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"_Toc225513235" </w:instrText>
          </w:r>
          <w:r>
            <w:rPr>
              <w:color w:val="auto"/>
            </w:rPr>
            <w:fldChar w:fldCharType="separate"/>
          </w:r>
          <w:r>
            <w:rPr>
              <w:rStyle w:val="36"/>
              <w:rFonts w:hint="eastAsia"/>
              <w:color w:val="auto"/>
            </w:rPr>
            <w:t>三、健全政策支持与服务监管机制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_Toc225513235 \h</w:instrText>
          </w:r>
          <w:r>
            <w:rPr>
              <w:rFonts w:hint="eastAsia"/>
              <w:color w:val="auto"/>
            </w:rPr>
            <w:instrText xml:space="preserve"> </w:instrText>
          </w:r>
          <w:r>
            <w:rPr>
              <w:rFonts w:hint="eastAsia"/>
              <w:color w:val="auto"/>
            </w:rPr>
            <w:fldChar w:fldCharType="separate"/>
          </w:r>
          <w:r>
            <w:rPr>
              <w:color w:val="auto"/>
            </w:rPr>
            <w:t>49</w:t>
          </w:r>
          <w:r>
            <w:rPr>
              <w:rFonts w:hint="eastAsia"/>
              <w:color w:val="auto"/>
            </w:rPr>
            <w:fldChar w:fldCharType="end"/>
          </w:r>
          <w:r>
            <w:rPr>
              <w:rFonts w:hint="eastAsia"/>
              <w:color w:val="auto"/>
            </w:rPr>
            <w:fldChar w:fldCharType="end"/>
          </w:r>
        </w:p>
        <w:p w14:paraId="7877C62E">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"_Toc225513236" </w:instrText>
          </w:r>
          <w:r>
            <w:rPr>
              <w:color w:val="auto"/>
            </w:rPr>
            <w:fldChar w:fldCharType="separate"/>
          </w:r>
          <w:r>
            <w:rPr>
              <w:rStyle w:val="36"/>
              <w:rFonts w:hint="eastAsia"/>
              <w:color w:val="auto"/>
            </w:rPr>
            <w:t>第五篇 持续加强生态文明建设，绘就美丽平山新图景</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_Toc225513236 \h</w:instrText>
          </w:r>
          <w:r>
            <w:rPr>
              <w:rFonts w:hint="eastAsia"/>
              <w:color w:val="auto"/>
            </w:rPr>
            <w:instrText xml:space="preserve"> </w:instrText>
          </w:r>
          <w:r>
            <w:rPr>
              <w:rFonts w:hint="eastAsia"/>
              <w:color w:val="auto"/>
            </w:rPr>
            <w:fldChar w:fldCharType="separate"/>
          </w:r>
          <w:r>
            <w:rPr>
              <w:color w:val="auto"/>
            </w:rPr>
            <w:t>51</w:t>
          </w:r>
          <w:r>
            <w:rPr>
              <w:rFonts w:hint="eastAsia"/>
              <w:color w:val="auto"/>
            </w:rPr>
            <w:fldChar w:fldCharType="end"/>
          </w:r>
          <w:r>
            <w:rPr>
              <w:rFonts w:hint="eastAsia"/>
              <w:color w:val="auto"/>
            </w:rPr>
            <w:fldChar w:fldCharType="end"/>
          </w:r>
        </w:p>
        <w:p w14:paraId="25FAD1B7">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"_Toc225513237" </w:instrText>
          </w:r>
          <w:r>
            <w:rPr>
              <w:color w:val="auto"/>
            </w:rPr>
            <w:fldChar w:fldCharType="separate"/>
          </w:r>
          <w:r>
            <w:rPr>
              <w:rStyle w:val="36"/>
              <w:rFonts w:hint="eastAsia"/>
              <w:color w:val="auto"/>
            </w:rPr>
            <w:t>第一章 持续加强污染防治，全面改善生态环境</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_Toc225513237 \h</w:instrText>
          </w:r>
          <w:r>
            <w:rPr>
              <w:rFonts w:hint="eastAsia"/>
              <w:color w:val="auto"/>
            </w:rPr>
            <w:instrText xml:space="preserve"> </w:instrText>
          </w:r>
          <w:r>
            <w:rPr>
              <w:rFonts w:hint="eastAsia"/>
              <w:color w:val="auto"/>
            </w:rPr>
            <w:fldChar w:fldCharType="separate"/>
          </w:r>
          <w:r>
            <w:rPr>
              <w:color w:val="auto"/>
            </w:rPr>
            <w:t>51</w:t>
          </w:r>
          <w:r>
            <w:rPr>
              <w:rFonts w:hint="eastAsia"/>
              <w:color w:val="auto"/>
            </w:rPr>
            <w:fldChar w:fldCharType="end"/>
          </w:r>
          <w:r>
            <w:rPr>
              <w:rFonts w:hint="eastAsia"/>
              <w:color w:val="auto"/>
            </w:rPr>
            <w:fldChar w:fldCharType="end"/>
          </w:r>
        </w:p>
        <w:p w14:paraId="224C2ED3">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"_Toc225513238" </w:instrText>
          </w:r>
          <w:r>
            <w:rPr>
              <w:color w:val="auto"/>
            </w:rPr>
            <w:fldChar w:fldCharType="separate"/>
          </w:r>
          <w:r>
            <w:rPr>
              <w:rStyle w:val="36"/>
              <w:rFonts w:hint="eastAsia"/>
              <w:color w:val="auto"/>
            </w:rPr>
            <w:t>一、持续推进大气污染防治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_Toc225513238 \h</w:instrText>
          </w:r>
          <w:r>
            <w:rPr>
              <w:rFonts w:hint="eastAsia"/>
              <w:color w:val="auto"/>
            </w:rPr>
            <w:instrText xml:space="preserve"> </w:instrText>
          </w:r>
          <w:r>
            <w:rPr>
              <w:rFonts w:hint="eastAsia"/>
              <w:color w:val="auto"/>
            </w:rPr>
            <w:fldChar w:fldCharType="separate"/>
          </w:r>
          <w:r>
            <w:rPr>
              <w:color w:val="auto"/>
            </w:rPr>
            <w:t>51</w:t>
          </w:r>
          <w:r>
            <w:rPr>
              <w:rFonts w:hint="eastAsia"/>
              <w:color w:val="auto"/>
            </w:rPr>
            <w:fldChar w:fldCharType="end"/>
          </w:r>
          <w:r>
            <w:rPr>
              <w:rFonts w:hint="eastAsia"/>
              <w:color w:val="auto"/>
            </w:rPr>
            <w:fldChar w:fldCharType="end"/>
          </w:r>
        </w:p>
        <w:p w14:paraId="5FAD2A38">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"_Toc225513239" </w:instrText>
          </w:r>
          <w:r>
            <w:rPr>
              <w:color w:val="auto"/>
            </w:rPr>
            <w:fldChar w:fldCharType="separate"/>
          </w:r>
          <w:r>
            <w:rPr>
              <w:rStyle w:val="36"/>
              <w:rFonts w:hint="eastAsia"/>
              <w:color w:val="auto"/>
            </w:rPr>
            <w:t>二、全面加强水污染防治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_Toc225513239 \h</w:instrText>
          </w:r>
          <w:r>
            <w:rPr>
              <w:rFonts w:hint="eastAsia"/>
              <w:color w:val="auto"/>
            </w:rPr>
            <w:instrText xml:space="preserve"> </w:instrText>
          </w:r>
          <w:r>
            <w:rPr>
              <w:rFonts w:hint="eastAsia"/>
              <w:color w:val="auto"/>
            </w:rPr>
            <w:fldChar w:fldCharType="separate"/>
          </w:r>
          <w:r>
            <w:rPr>
              <w:color w:val="auto"/>
            </w:rPr>
            <w:t>51</w:t>
          </w:r>
          <w:r>
            <w:rPr>
              <w:rFonts w:hint="eastAsia"/>
              <w:color w:val="auto"/>
            </w:rPr>
            <w:fldChar w:fldCharType="end"/>
          </w:r>
          <w:r>
            <w:rPr>
              <w:rFonts w:hint="eastAsia"/>
              <w:color w:val="auto"/>
            </w:rPr>
            <w:fldChar w:fldCharType="end"/>
          </w:r>
        </w:p>
        <w:p w14:paraId="113990D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"_Toc225513240" </w:instrText>
          </w:r>
          <w:r>
            <w:rPr>
              <w:color w:val="auto"/>
            </w:rPr>
            <w:fldChar w:fldCharType="separate"/>
          </w:r>
          <w:r>
            <w:rPr>
              <w:rStyle w:val="36"/>
              <w:rFonts w:hint="eastAsia"/>
              <w:bCs/>
              <w:color w:val="auto"/>
            </w:rPr>
            <w:t>三、持续加强土壤污染防治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_Toc225513240 \h</w:instrText>
          </w:r>
          <w:r>
            <w:rPr>
              <w:rFonts w:hint="eastAsia"/>
              <w:color w:val="auto"/>
            </w:rPr>
            <w:instrText xml:space="preserve"> </w:instrText>
          </w:r>
          <w:r>
            <w:rPr>
              <w:rFonts w:hint="eastAsia"/>
              <w:color w:val="auto"/>
            </w:rPr>
            <w:fldChar w:fldCharType="separate"/>
          </w:r>
          <w:r>
            <w:rPr>
              <w:color w:val="auto"/>
            </w:rPr>
            <w:t>52</w:t>
          </w:r>
          <w:r>
            <w:rPr>
              <w:rFonts w:hint="eastAsia"/>
              <w:color w:val="auto"/>
            </w:rPr>
            <w:fldChar w:fldCharType="end"/>
          </w:r>
          <w:r>
            <w:rPr>
              <w:rFonts w:hint="eastAsia"/>
              <w:color w:val="auto"/>
            </w:rPr>
            <w:fldChar w:fldCharType="end"/>
          </w:r>
        </w:p>
        <w:p w14:paraId="6875800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"_Toc225513241" </w:instrText>
          </w:r>
          <w:r>
            <w:rPr>
              <w:color w:val="auto"/>
            </w:rPr>
            <w:fldChar w:fldCharType="separate"/>
          </w:r>
          <w:r>
            <w:rPr>
              <w:rStyle w:val="36"/>
              <w:rFonts w:hint="eastAsia"/>
              <w:color w:val="auto"/>
            </w:rPr>
            <w:t>四、健全垃圾收运处置体系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_Toc225513241 \h</w:instrText>
          </w:r>
          <w:r>
            <w:rPr>
              <w:rFonts w:hint="eastAsia"/>
              <w:color w:val="auto"/>
            </w:rPr>
            <w:instrText xml:space="preserve"> </w:instrText>
          </w:r>
          <w:r>
            <w:rPr>
              <w:rFonts w:hint="eastAsia"/>
              <w:color w:val="auto"/>
            </w:rPr>
            <w:fldChar w:fldCharType="separate"/>
          </w:r>
          <w:r>
            <w:rPr>
              <w:color w:val="auto"/>
            </w:rPr>
            <w:t>52</w:t>
          </w:r>
          <w:r>
            <w:rPr>
              <w:rFonts w:hint="eastAsia"/>
              <w:color w:val="auto"/>
            </w:rPr>
            <w:fldChar w:fldCharType="end"/>
          </w:r>
          <w:r>
            <w:rPr>
              <w:rFonts w:hint="eastAsia"/>
              <w:color w:val="auto"/>
            </w:rPr>
            <w:fldChar w:fldCharType="end"/>
          </w:r>
        </w:p>
        <w:p w14:paraId="7EBDB880">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"_Toc225513242" </w:instrText>
          </w:r>
          <w:r>
            <w:rPr>
              <w:color w:val="auto"/>
            </w:rPr>
            <w:fldChar w:fldCharType="separate"/>
          </w:r>
          <w:r>
            <w:rPr>
              <w:rStyle w:val="36"/>
              <w:rFonts w:hint="eastAsia"/>
              <w:color w:val="auto"/>
            </w:rPr>
            <w:t>第二章 加强生态保护修复，筑牢生态安全屏障</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_Toc225513242 \h</w:instrText>
          </w:r>
          <w:r>
            <w:rPr>
              <w:rFonts w:hint="eastAsia"/>
              <w:color w:val="auto"/>
            </w:rPr>
            <w:instrText xml:space="preserve"> </w:instrText>
          </w:r>
          <w:r>
            <w:rPr>
              <w:rFonts w:hint="eastAsia"/>
              <w:color w:val="auto"/>
            </w:rPr>
            <w:fldChar w:fldCharType="separate"/>
          </w:r>
          <w:r>
            <w:rPr>
              <w:color w:val="auto"/>
            </w:rPr>
            <w:t>53</w:t>
          </w:r>
          <w:r>
            <w:rPr>
              <w:rFonts w:hint="eastAsia"/>
              <w:color w:val="auto"/>
            </w:rPr>
            <w:fldChar w:fldCharType="end"/>
          </w:r>
          <w:r>
            <w:rPr>
              <w:rFonts w:hint="eastAsia"/>
              <w:color w:val="auto"/>
            </w:rPr>
            <w:fldChar w:fldCharType="end"/>
          </w:r>
        </w:p>
        <w:p w14:paraId="4F5C0188">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"_Toc225513243" </w:instrText>
          </w:r>
          <w:r>
            <w:rPr>
              <w:color w:val="auto"/>
            </w:rPr>
            <w:fldChar w:fldCharType="separate"/>
          </w:r>
          <w:r>
            <w:rPr>
              <w:rStyle w:val="36"/>
              <w:rFonts w:hint="eastAsia"/>
              <w:color w:val="auto"/>
            </w:rPr>
            <w:t>一、持续加强山场、林业资源保护管理</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_Toc225513243 \h</w:instrText>
          </w:r>
          <w:r>
            <w:rPr>
              <w:rFonts w:hint="eastAsia"/>
              <w:color w:val="auto"/>
            </w:rPr>
            <w:instrText xml:space="preserve"> </w:instrText>
          </w:r>
          <w:r>
            <w:rPr>
              <w:rFonts w:hint="eastAsia"/>
              <w:color w:val="auto"/>
            </w:rPr>
            <w:fldChar w:fldCharType="separate"/>
          </w:r>
          <w:r>
            <w:rPr>
              <w:color w:val="auto"/>
            </w:rPr>
            <w:t>53</w:t>
          </w:r>
          <w:r>
            <w:rPr>
              <w:rFonts w:hint="eastAsia"/>
              <w:color w:val="auto"/>
            </w:rPr>
            <w:fldChar w:fldCharType="end"/>
          </w:r>
          <w:r>
            <w:rPr>
              <w:rFonts w:hint="eastAsia"/>
              <w:color w:val="auto"/>
            </w:rPr>
            <w:fldChar w:fldCharType="end"/>
          </w:r>
        </w:p>
        <w:p w14:paraId="17B3A223">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"_Toc225513244" </w:instrText>
          </w:r>
          <w:r>
            <w:rPr>
              <w:color w:val="auto"/>
            </w:rPr>
            <w:fldChar w:fldCharType="separate"/>
          </w:r>
          <w:r>
            <w:rPr>
              <w:rStyle w:val="36"/>
              <w:rFonts w:hint="eastAsia"/>
              <w:color w:val="auto"/>
            </w:rPr>
            <w:t>二、扎实推进水生态治理</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_Toc225513244 \h</w:instrText>
          </w:r>
          <w:r>
            <w:rPr>
              <w:rFonts w:hint="eastAsia"/>
              <w:color w:val="auto"/>
            </w:rPr>
            <w:instrText xml:space="preserve"> </w:instrText>
          </w:r>
          <w:r>
            <w:rPr>
              <w:rFonts w:hint="eastAsia"/>
              <w:color w:val="auto"/>
            </w:rPr>
            <w:fldChar w:fldCharType="separate"/>
          </w:r>
          <w:r>
            <w:rPr>
              <w:color w:val="auto"/>
            </w:rPr>
            <w:t>53</w:t>
          </w:r>
          <w:r>
            <w:rPr>
              <w:rFonts w:hint="eastAsia"/>
              <w:color w:val="auto"/>
            </w:rPr>
            <w:fldChar w:fldCharType="end"/>
          </w:r>
          <w:r>
            <w:rPr>
              <w:rFonts w:hint="eastAsia"/>
              <w:color w:val="auto"/>
            </w:rPr>
            <w:fldChar w:fldCharType="end"/>
          </w:r>
        </w:p>
        <w:p w14:paraId="615FE97C">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"_Toc225513245" </w:instrText>
          </w:r>
          <w:r>
            <w:rPr>
              <w:color w:val="auto"/>
            </w:rPr>
            <w:fldChar w:fldCharType="separate"/>
          </w:r>
          <w:r>
            <w:rPr>
              <w:rStyle w:val="36"/>
              <w:rFonts w:hint="eastAsia"/>
              <w:color w:val="auto"/>
            </w:rPr>
            <w:t>三、野生动植物及其栖息地保护</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_Toc225513245 \h</w:instrText>
          </w:r>
          <w:r>
            <w:rPr>
              <w:rFonts w:hint="eastAsia"/>
              <w:color w:val="auto"/>
            </w:rPr>
            <w:instrText xml:space="preserve"> </w:instrText>
          </w:r>
          <w:r>
            <w:rPr>
              <w:rFonts w:hint="eastAsia"/>
              <w:color w:val="auto"/>
            </w:rPr>
            <w:fldChar w:fldCharType="separate"/>
          </w:r>
          <w:r>
            <w:rPr>
              <w:color w:val="auto"/>
            </w:rPr>
            <w:t>54</w:t>
          </w:r>
          <w:r>
            <w:rPr>
              <w:rFonts w:hint="eastAsia"/>
              <w:color w:val="auto"/>
            </w:rPr>
            <w:fldChar w:fldCharType="end"/>
          </w:r>
          <w:r>
            <w:rPr>
              <w:rFonts w:hint="eastAsia"/>
              <w:color w:val="auto"/>
            </w:rPr>
            <w:fldChar w:fldCharType="end"/>
          </w:r>
        </w:p>
        <w:p w14:paraId="378D32E8">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"_Toc225513246" </w:instrText>
          </w:r>
          <w:r>
            <w:rPr>
              <w:color w:val="auto"/>
            </w:rPr>
            <w:fldChar w:fldCharType="separate"/>
          </w:r>
          <w:r>
            <w:rPr>
              <w:rStyle w:val="36"/>
              <w:rFonts w:hint="eastAsia"/>
              <w:color w:val="auto"/>
            </w:rPr>
            <w:t>四、健全生态监测与监管体系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_Toc225513246 \h</w:instrText>
          </w:r>
          <w:r>
            <w:rPr>
              <w:rFonts w:hint="eastAsia"/>
              <w:color w:val="auto"/>
            </w:rPr>
            <w:instrText xml:space="preserve"> </w:instrText>
          </w:r>
          <w:r>
            <w:rPr>
              <w:rFonts w:hint="eastAsia"/>
              <w:color w:val="auto"/>
            </w:rPr>
            <w:fldChar w:fldCharType="separate"/>
          </w:r>
          <w:r>
            <w:rPr>
              <w:color w:val="auto"/>
            </w:rPr>
            <w:t>54</w:t>
          </w:r>
          <w:r>
            <w:rPr>
              <w:rFonts w:hint="eastAsia"/>
              <w:color w:val="auto"/>
            </w:rPr>
            <w:fldChar w:fldCharType="end"/>
          </w:r>
          <w:r>
            <w:rPr>
              <w:rFonts w:hint="eastAsia"/>
              <w:color w:val="auto"/>
            </w:rPr>
            <w:fldChar w:fldCharType="end"/>
          </w:r>
        </w:p>
        <w:p w14:paraId="3EE6C799">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"_Toc225513247" </w:instrText>
          </w:r>
          <w:r>
            <w:rPr>
              <w:color w:val="auto"/>
            </w:rPr>
            <w:fldChar w:fldCharType="separate"/>
          </w:r>
          <w:r>
            <w:rPr>
              <w:rStyle w:val="36"/>
              <w:rFonts w:hint="eastAsia"/>
              <w:color w:val="auto"/>
            </w:rPr>
            <w:t>第三章 推动绿色低碳转型，培育生态发展新动能</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_Toc225513247 \h</w:instrText>
          </w:r>
          <w:r>
            <w:rPr>
              <w:rFonts w:hint="eastAsia"/>
              <w:color w:val="auto"/>
            </w:rPr>
            <w:instrText xml:space="preserve"> </w:instrText>
          </w:r>
          <w:r>
            <w:rPr>
              <w:rFonts w:hint="eastAsia"/>
              <w:color w:val="auto"/>
            </w:rPr>
            <w:fldChar w:fldCharType="separate"/>
          </w:r>
          <w:r>
            <w:rPr>
              <w:color w:val="auto"/>
            </w:rPr>
            <w:t>54</w:t>
          </w:r>
          <w:r>
            <w:rPr>
              <w:rFonts w:hint="eastAsia"/>
              <w:color w:val="auto"/>
            </w:rPr>
            <w:fldChar w:fldCharType="end"/>
          </w:r>
          <w:r>
            <w:rPr>
              <w:rFonts w:hint="eastAsia"/>
              <w:color w:val="auto"/>
            </w:rPr>
            <w:fldChar w:fldCharType="end"/>
          </w:r>
        </w:p>
        <w:p w14:paraId="3683FFD7">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"_Toc225513248" </w:instrText>
          </w:r>
          <w:r>
            <w:rPr>
              <w:color w:val="auto"/>
            </w:rPr>
            <w:fldChar w:fldCharType="separate"/>
          </w:r>
          <w:r>
            <w:rPr>
              <w:rStyle w:val="36"/>
              <w:rFonts w:hint="eastAsia"/>
              <w:color w:val="auto"/>
            </w:rPr>
            <w:t>一、推动县域产业绿色低碳转型</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_Toc225513248 \h</w:instrText>
          </w:r>
          <w:r>
            <w:rPr>
              <w:rFonts w:hint="eastAsia"/>
              <w:color w:val="auto"/>
            </w:rPr>
            <w:instrText xml:space="preserve"> </w:instrText>
          </w:r>
          <w:r>
            <w:rPr>
              <w:rFonts w:hint="eastAsia"/>
              <w:color w:val="auto"/>
            </w:rPr>
            <w:fldChar w:fldCharType="separate"/>
          </w:r>
          <w:r>
            <w:rPr>
              <w:color w:val="auto"/>
            </w:rPr>
            <w:t>54</w:t>
          </w:r>
          <w:r>
            <w:rPr>
              <w:rFonts w:hint="eastAsia"/>
              <w:color w:val="auto"/>
            </w:rPr>
            <w:fldChar w:fldCharType="end"/>
          </w:r>
          <w:r>
            <w:rPr>
              <w:rFonts w:hint="eastAsia"/>
              <w:color w:val="auto"/>
            </w:rPr>
            <w:fldChar w:fldCharType="end"/>
          </w:r>
        </w:p>
        <w:p w14:paraId="00FAAAFC">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"_Toc225513249" </w:instrText>
          </w:r>
          <w:r>
            <w:rPr>
              <w:color w:val="auto"/>
            </w:rPr>
            <w:fldChar w:fldCharType="separate"/>
          </w:r>
          <w:r>
            <w:rPr>
              <w:rStyle w:val="36"/>
              <w:rFonts w:hint="eastAsia"/>
              <w:color w:val="auto"/>
            </w:rPr>
            <w:t>二、健全生态资源价值转化机制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_Toc225513249 \h</w:instrText>
          </w:r>
          <w:r>
            <w:rPr>
              <w:rFonts w:hint="eastAsia"/>
              <w:color w:val="auto"/>
            </w:rPr>
            <w:instrText xml:space="preserve"> </w:instrText>
          </w:r>
          <w:r>
            <w:rPr>
              <w:rFonts w:hint="eastAsia"/>
              <w:color w:val="auto"/>
            </w:rPr>
            <w:fldChar w:fldCharType="separate"/>
          </w:r>
          <w:r>
            <w:rPr>
              <w:color w:val="auto"/>
            </w:rPr>
            <w:t>55</w:t>
          </w:r>
          <w:r>
            <w:rPr>
              <w:rFonts w:hint="eastAsia"/>
              <w:color w:val="auto"/>
            </w:rPr>
            <w:fldChar w:fldCharType="end"/>
          </w:r>
          <w:r>
            <w:rPr>
              <w:rFonts w:hint="eastAsia"/>
              <w:color w:val="auto"/>
            </w:rPr>
            <w:fldChar w:fldCharType="end"/>
          </w:r>
        </w:p>
        <w:p w14:paraId="2B7E2ACA">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"_Toc225513250" </w:instrText>
          </w:r>
          <w:r>
            <w:rPr>
              <w:color w:val="auto"/>
            </w:rPr>
            <w:fldChar w:fldCharType="separate"/>
          </w:r>
          <w:r>
            <w:rPr>
              <w:rStyle w:val="36"/>
              <w:rFonts w:hint="eastAsia"/>
              <w:color w:val="auto"/>
            </w:rPr>
            <w:t>三、加快形成绿色低碳生活方式</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_Toc225513250 \h</w:instrText>
          </w:r>
          <w:r>
            <w:rPr>
              <w:rFonts w:hint="eastAsia"/>
              <w:color w:val="auto"/>
            </w:rPr>
            <w:instrText xml:space="preserve"> </w:instrText>
          </w:r>
          <w:r>
            <w:rPr>
              <w:rFonts w:hint="eastAsia"/>
              <w:color w:val="auto"/>
            </w:rPr>
            <w:fldChar w:fldCharType="separate"/>
          </w:r>
          <w:r>
            <w:rPr>
              <w:color w:val="auto"/>
            </w:rPr>
            <w:t>55</w:t>
          </w:r>
          <w:r>
            <w:rPr>
              <w:rFonts w:hint="eastAsia"/>
              <w:color w:val="auto"/>
            </w:rPr>
            <w:fldChar w:fldCharType="end"/>
          </w:r>
          <w:r>
            <w:rPr>
              <w:rFonts w:hint="eastAsia"/>
              <w:color w:val="auto"/>
            </w:rPr>
            <w:fldChar w:fldCharType="end"/>
          </w:r>
        </w:p>
        <w:p w14:paraId="223C456D">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"_Toc225513251" </w:instrText>
          </w:r>
          <w:r>
            <w:rPr>
              <w:color w:val="auto"/>
            </w:rPr>
            <w:fldChar w:fldCharType="separate"/>
          </w:r>
          <w:r>
            <w:rPr>
              <w:rStyle w:val="36"/>
              <w:rFonts w:hint="eastAsia"/>
              <w:color w:val="auto"/>
            </w:rPr>
            <w:t>第六篇 优化空间布局，推进城乡融合发展</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_Toc225513251 \h</w:instrText>
          </w:r>
          <w:r>
            <w:rPr>
              <w:rFonts w:hint="eastAsia"/>
              <w:color w:val="auto"/>
            </w:rPr>
            <w:instrText xml:space="preserve"> </w:instrText>
          </w:r>
          <w:r>
            <w:rPr>
              <w:rFonts w:hint="eastAsia"/>
              <w:color w:val="auto"/>
            </w:rPr>
            <w:fldChar w:fldCharType="separate"/>
          </w:r>
          <w:r>
            <w:rPr>
              <w:color w:val="auto"/>
            </w:rPr>
            <w:t>57</w:t>
          </w:r>
          <w:r>
            <w:rPr>
              <w:rFonts w:hint="eastAsia"/>
              <w:color w:val="auto"/>
            </w:rPr>
            <w:fldChar w:fldCharType="end"/>
          </w:r>
          <w:r>
            <w:rPr>
              <w:rFonts w:hint="eastAsia"/>
              <w:color w:val="auto"/>
            </w:rPr>
            <w:fldChar w:fldCharType="end"/>
          </w:r>
        </w:p>
        <w:p w14:paraId="7D4034DB">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"_Toc225513252" </w:instrText>
          </w:r>
          <w:r>
            <w:rPr>
              <w:color w:val="auto"/>
            </w:rPr>
            <w:fldChar w:fldCharType="separate"/>
          </w:r>
          <w:r>
            <w:rPr>
              <w:rStyle w:val="36"/>
              <w:rFonts w:hint="eastAsia"/>
              <w:color w:val="auto"/>
            </w:rPr>
            <w:t>第一章 衔接国土空间规划，构建“一张图”协同发展格局</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_Toc225513252 \h</w:instrText>
          </w:r>
          <w:r>
            <w:rPr>
              <w:rFonts w:hint="eastAsia"/>
              <w:color w:val="auto"/>
            </w:rPr>
            <w:instrText xml:space="preserve"> </w:instrText>
          </w:r>
          <w:r>
            <w:rPr>
              <w:rFonts w:hint="eastAsia"/>
              <w:color w:val="auto"/>
            </w:rPr>
            <w:fldChar w:fldCharType="separate"/>
          </w:r>
          <w:r>
            <w:rPr>
              <w:color w:val="auto"/>
            </w:rPr>
            <w:t>57</w:t>
          </w:r>
          <w:r>
            <w:rPr>
              <w:rFonts w:hint="eastAsia"/>
              <w:color w:val="auto"/>
            </w:rPr>
            <w:fldChar w:fldCharType="end"/>
          </w:r>
          <w:r>
            <w:rPr>
              <w:rFonts w:hint="eastAsia"/>
              <w:color w:val="auto"/>
            </w:rPr>
            <w:fldChar w:fldCharType="end"/>
          </w:r>
        </w:p>
        <w:p w14:paraId="2338BE58">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"_Toc225513253" </w:instrText>
          </w:r>
          <w:r>
            <w:rPr>
              <w:color w:val="auto"/>
            </w:rPr>
            <w:fldChar w:fldCharType="separate"/>
          </w:r>
          <w:r>
            <w:rPr>
              <w:rStyle w:val="36"/>
              <w:rFonts w:hint="eastAsia"/>
              <w:color w:val="auto"/>
            </w:rPr>
            <w:t>一、依托“一廊”：打造滹沱河生态与活力复合廊道</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_Toc225513253 \h</w:instrText>
          </w:r>
          <w:r>
            <w:rPr>
              <w:rFonts w:hint="eastAsia"/>
              <w:color w:val="auto"/>
            </w:rPr>
            <w:instrText xml:space="preserve"> </w:instrText>
          </w:r>
          <w:r>
            <w:rPr>
              <w:rFonts w:hint="eastAsia"/>
              <w:color w:val="auto"/>
            </w:rPr>
            <w:fldChar w:fldCharType="separate"/>
          </w:r>
          <w:r>
            <w:rPr>
              <w:color w:val="auto"/>
            </w:rPr>
            <w:t>57</w:t>
          </w:r>
          <w:r>
            <w:rPr>
              <w:rFonts w:hint="eastAsia"/>
              <w:color w:val="auto"/>
            </w:rPr>
            <w:fldChar w:fldCharType="end"/>
          </w:r>
          <w:r>
            <w:rPr>
              <w:rFonts w:hint="eastAsia"/>
              <w:color w:val="auto"/>
            </w:rPr>
            <w:fldChar w:fldCharType="end"/>
          </w:r>
        </w:p>
        <w:p w14:paraId="52EAECBE">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"_Toc225513254" </w:instrText>
          </w:r>
          <w:r>
            <w:rPr>
              <w:color w:val="auto"/>
            </w:rPr>
            <w:fldChar w:fldCharType="separate"/>
          </w:r>
          <w:r>
            <w:rPr>
              <w:rStyle w:val="36"/>
              <w:rFonts w:hint="eastAsia"/>
              <w:color w:val="auto"/>
            </w:rPr>
            <w:t>二、贯通“两轴”：</w:t>
          </w:r>
          <w:r>
            <w:rPr>
              <w:rStyle w:val="36"/>
              <w:rFonts w:hint="eastAsia" w:ascii="仿宋_GB2312" w:hAnsi="仿宋_GB2312" w:cs="仿宋_GB2312"/>
              <w:color w:val="auto"/>
            </w:rPr>
            <w:t>强化G338与G207城乡融合发展轴</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_Toc225513254 \h</w:instrText>
          </w:r>
          <w:r>
            <w:rPr>
              <w:rFonts w:hint="eastAsia"/>
              <w:color w:val="auto"/>
            </w:rPr>
            <w:instrText xml:space="preserve"> </w:instrText>
          </w:r>
          <w:r>
            <w:rPr>
              <w:rFonts w:hint="eastAsia"/>
              <w:color w:val="auto"/>
            </w:rPr>
            <w:fldChar w:fldCharType="separate"/>
          </w:r>
          <w:r>
            <w:rPr>
              <w:color w:val="auto"/>
            </w:rPr>
            <w:t>58</w:t>
          </w:r>
          <w:r>
            <w:rPr>
              <w:rFonts w:hint="eastAsia"/>
              <w:color w:val="auto"/>
            </w:rPr>
            <w:fldChar w:fldCharType="end"/>
          </w:r>
          <w:r>
            <w:rPr>
              <w:rFonts w:hint="eastAsia"/>
              <w:color w:val="auto"/>
            </w:rPr>
            <w:fldChar w:fldCharType="end"/>
          </w:r>
        </w:p>
        <w:p w14:paraId="19890666">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"_Toc225513255" </w:instrText>
          </w:r>
          <w:r>
            <w:rPr>
              <w:color w:val="auto"/>
            </w:rPr>
            <w:fldChar w:fldCharType="separate"/>
          </w:r>
          <w:r>
            <w:rPr>
              <w:rStyle w:val="36"/>
              <w:rFonts w:hint="eastAsia"/>
              <w:color w:val="auto"/>
            </w:rPr>
            <w:t>三、统筹“三区”：明确三大主体功能区发展导向</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_Toc225513255 \h</w:instrText>
          </w:r>
          <w:r>
            <w:rPr>
              <w:rFonts w:hint="eastAsia"/>
              <w:color w:val="auto"/>
            </w:rPr>
            <w:instrText xml:space="preserve"> </w:instrText>
          </w:r>
          <w:r>
            <w:rPr>
              <w:rFonts w:hint="eastAsia"/>
              <w:color w:val="auto"/>
            </w:rPr>
            <w:fldChar w:fldCharType="separate"/>
          </w:r>
          <w:r>
            <w:rPr>
              <w:color w:val="auto"/>
            </w:rPr>
            <w:t>58</w:t>
          </w:r>
          <w:r>
            <w:rPr>
              <w:rFonts w:hint="eastAsia"/>
              <w:color w:val="auto"/>
            </w:rPr>
            <w:fldChar w:fldCharType="end"/>
          </w:r>
          <w:r>
            <w:rPr>
              <w:rFonts w:hint="eastAsia"/>
              <w:color w:val="auto"/>
            </w:rPr>
            <w:fldChar w:fldCharType="end"/>
          </w:r>
        </w:p>
        <w:p w14:paraId="38C7349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"_Toc225513256" </w:instrText>
          </w:r>
          <w:r>
            <w:rPr>
              <w:color w:val="auto"/>
            </w:rPr>
            <w:fldChar w:fldCharType="separate"/>
          </w:r>
          <w:r>
            <w:rPr>
              <w:rStyle w:val="36"/>
              <w:rFonts w:hint="eastAsia"/>
              <w:color w:val="auto"/>
            </w:rPr>
            <w:t>四、赋能“多组团”：构建特色鲜明的功能组团</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_Toc225513256 \h</w:instrText>
          </w:r>
          <w:r>
            <w:rPr>
              <w:rFonts w:hint="eastAsia"/>
              <w:color w:val="auto"/>
            </w:rPr>
            <w:instrText xml:space="preserve"> </w:instrText>
          </w:r>
          <w:r>
            <w:rPr>
              <w:rFonts w:hint="eastAsia"/>
              <w:color w:val="auto"/>
            </w:rPr>
            <w:fldChar w:fldCharType="separate"/>
          </w:r>
          <w:r>
            <w:rPr>
              <w:color w:val="auto"/>
            </w:rPr>
            <w:t>58</w:t>
          </w:r>
          <w:r>
            <w:rPr>
              <w:rFonts w:hint="eastAsia"/>
              <w:color w:val="auto"/>
            </w:rPr>
            <w:fldChar w:fldCharType="end"/>
          </w:r>
          <w:r>
            <w:rPr>
              <w:rFonts w:hint="eastAsia"/>
              <w:color w:val="auto"/>
            </w:rPr>
            <w:fldChar w:fldCharType="end"/>
          </w:r>
        </w:p>
        <w:p w14:paraId="4D38A3BF">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"_Toc225513257" </w:instrText>
          </w:r>
          <w:r>
            <w:rPr>
              <w:color w:val="auto"/>
            </w:rPr>
            <w:fldChar w:fldCharType="separate"/>
          </w:r>
          <w:r>
            <w:rPr>
              <w:rStyle w:val="36"/>
              <w:rFonts w:hint="eastAsia"/>
              <w:color w:val="auto"/>
            </w:rPr>
            <w:t>第二章 建设彰显平山特色的高品质县城</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_Toc225513257 \h</w:instrText>
          </w:r>
          <w:r>
            <w:rPr>
              <w:rFonts w:hint="eastAsia"/>
              <w:color w:val="auto"/>
            </w:rPr>
            <w:instrText xml:space="preserve"> </w:instrText>
          </w:r>
          <w:r>
            <w:rPr>
              <w:rFonts w:hint="eastAsia"/>
              <w:color w:val="auto"/>
            </w:rPr>
            <w:fldChar w:fldCharType="separate"/>
          </w:r>
          <w:r>
            <w:rPr>
              <w:color w:val="auto"/>
            </w:rPr>
            <w:t>59</w:t>
          </w:r>
          <w:r>
            <w:rPr>
              <w:rFonts w:hint="eastAsia"/>
              <w:color w:val="auto"/>
            </w:rPr>
            <w:fldChar w:fldCharType="end"/>
          </w:r>
          <w:r>
            <w:rPr>
              <w:rFonts w:hint="eastAsia"/>
              <w:color w:val="auto"/>
            </w:rPr>
            <w:fldChar w:fldCharType="end"/>
          </w:r>
        </w:p>
        <w:p w14:paraId="10EEC70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"_Toc225513258" </w:instrText>
          </w:r>
          <w:r>
            <w:rPr>
              <w:color w:val="auto"/>
            </w:rPr>
            <w:fldChar w:fldCharType="separate"/>
          </w:r>
          <w:r>
            <w:rPr>
              <w:rStyle w:val="36"/>
              <w:rFonts w:hint="eastAsia"/>
              <w:color w:val="auto"/>
            </w:rPr>
            <w:t>一、加快县城更新</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_Toc225513258 \h</w:instrText>
          </w:r>
          <w:r>
            <w:rPr>
              <w:rFonts w:hint="eastAsia"/>
              <w:color w:val="auto"/>
            </w:rPr>
            <w:instrText xml:space="preserve"> </w:instrText>
          </w:r>
          <w:r>
            <w:rPr>
              <w:rFonts w:hint="eastAsia"/>
              <w:color w:val="auto"/>
            </w:rPr>
            <w:fldChar w:fldCharType="separate"/>
          </w:r>
          <w:r>
            <w:rPr>
              <w:color w:val="auto"/>
            </w:rPr>
            <w:t>59</w:t>
          </w:r>
          <w:r>
            <w:rPr>
              <w:rFonts w:hint="eastAsia"/>
              <w:color w:val="auto"/>
            </w:rPr>
            <w:fldChar w:fldCharType="end"/>
          </w:r>
          <w:r>
            <w:rPr>
              <w:rFonts w:hint="eastAsia"/>
              <w:color w:val="auto"/>
            </w:rPr>
            <w:fldChar w:fldCharType="end"/>
          </w:r>
        </w:p>
        <w:p w14:paraId="33554B6E">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"_Toc225513259" </w:instrText>
          </w:r>
          <w:r>
            <w:rPr>
              <w:color w:val="auto"/>
            </w:rPr>
            <w:fldChar w:fldCharType="separate"/>
          </w:r>
          <w:r>
            <w:rPr>
              <w:rStyle w:val="36"/>
              <w:rFonts w:hint="eastAsia"/>
              <w:color w:val="auto"/>
            </w:rPr>
            <w:t>二、提升县城品质</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_Toc225513259 \h</w:instrText>
          </w:r>
          <w:r>
            <w:rPr>
              <w:rFonts w:hint="eastAsia"/>
              <w:color w:val="auto"/>
            </w:rPr>
            <w:instrText xml:space="preserve"> </w:instrText>
          </w:r>
          <w:r>
            <w:rPr>
              <w:rFonts w:hint="eastAsia"/>
              <w:color w:val="auto"/>
            </w:rPr>
            <w:fldChar w:fldCharType="separate"/>
          </w:r>
          <w:r>
            <w:rPr>
              <w:color w:val="auto"/>
            </w:rPr>
            <w:t>60</w:t>
          </w:r>
          <w:r>
            <w:rPr>
              <w:rFonts w:hint="eastAsia"/>
              <w:color w:val="auto"/>
            </w:rPr>
            <w:fldChar w:fldCharType="end"/>
          </w:r>
          <w:r>
            <w:rPr>
              <w:rFonts w:hint="eastAsia"/>
              <w:color w:val="auto"/>
            </w:rPr>
            <w:fldChar w:fldCharType="end"/>
          </w:r>
        </w:p>
        <w:p w14:paraId="6A3B7B2C">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"_Toc225513260" </w:instrText>
          </w:r>
          <w:r>
            <w:rPr>
              <w:color w:val="auto"/>
            </w:rPr>
            <w:fldChar w:fldCharType="separate"/>
          </w:r>
          <w:r>
            <w:rPr>
              <w:rStyle w:val="36"/>
              <w:rFonts w:hint="eastAsia"/>
              <w:color w:val="auto"/>
            </w:rPr>
            <w:t>三、强化精细治理</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_Toc225513260 \h</w:instrText>
          </w:r>
          <w:r>
            <w:rPr>
              <w:rFonts w:hint="eastAsia"/>
              <w:color w:val="auto"/>
            </w:rPr>
            <w:instrText xml:space="preserve"> </w:instrText>
          </w:r>
          <w:r>
            <w:rPr>
              <w:rFonts w:hint="eastAsia"/>
              <w:color w:val="auto"/>
            </w:rPr>
            <w:fldChar w:fldCharType="separate"/>
          </w:r>
          <w:r>
            <w:rPr>
              <w:color w:val="auto"/>
            </w:rPr>
            <w:t>60</w:t>
          </w:r>
          <w:r>
            <w:rPr>
              <w:rFonts w:hint="eastAsia"/>
              <w:color w:val="auto"/>
            </w:rPr>
            <w:fldChar w:fldCharType="end"/>
          </w:r>
          <w:r>
            <w:rPr>
              <w:rFonts w:hint="eastAsia"/>
              <w:color w:val="auto"/>
            </w:rPr>
            <w:fldChar w:fldCharType="end"/>
          </w:r>
        </w:p>
        <w:p w14:paraId="06F13A61">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"_Toc225513261" </w:instrText>
          </w:r>
          <w:r>
            <w:rPr>
              <w:color w:val="auto"/>
            </w:rPr>
            <w:fldChar w:fldCharType="separate"/>
          </w:r>
          <w:r>
            <w:rPr>
              <w:rStyle w:val="36"/>
              <w:rFonts w:hint="eastAsia"/>
              <w:color w:val="auto"/>
            </w:rPr>
            <w:t>第三章 推进以人为本的新型城镇化建设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_Toc225513261 \h</w:instrText>
          </w:r>
          <w:r>
            <w:rPr>
              <w:rFonts w:hint="eastAsia"/>
              <w:color w:val="auto"/>
            </w:rPr>
            <w:instrText xml:space="preserve"> </w:instrText>
          </w:r>
          <w:r>
            <w:rPr>
              <w:rFonts w:hint="eastAsia"/>
              <w:color w:val="auto"/>
            </w:rPr>
            <w:fldChar w:fldCharType="separate"/>
          </w:r>
          <w:r>
            <w:rPr>
              <w:color w:val="auto"/>
            </w:rPr>
            <w:t>61</w:t>
          </w:r>
          <w:r>
            <w:rPr>
              <w:rFonts w:hint="eastAsia"/>
              <w:color w:val="auto"/>
            </w:rPr>
            <w:fldChar w:fldCharType="end"/>
          </w:r>
          <w:r>
            <w:rPr>
              <w:rFonts w:hint="eastAsia"/>
              <w:color w:val="auto"/>
            </w:rPr>
            <w:fldChar w:fldCharType="end"/>
          </w:r>
        </w:p>
        <w:p w14:paraId="6F59443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"_Toc225513262" </w:instrText>
          </w:r>
          <w:r>
            <w:rPr>
              <w:color w:val="auto"/>
            </w:rPr>
            <w:fldChar w:fldCharType="separate"/>
          </w:r>
          <w:r>
            <w:rPr>
              <w:rStyle w:val="36"/>
              <w:rFonts w:hint="eastAsia"/>
              <w:color w:val="auto"/>
            </w:rPr>
            <w:t>一、推进农业转移人口市民化</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_Toc225513262 \h</w:instrText>
          </w:r>
          <w:r>
            <w:rPr>
              <w:rFonts w:hint="eastAsia"/>
              <w:color w:val="auto"/>
            </w:rPr>
            <w:instrText xml:space="preserve"> </w:instrText>
          </w:r>
          <w:r>
            <w:rPr>
              <w:rFonts w:hint="eastAsia"/>
              <w:color w:val="auto"/>
            </w:rPr>
            <w:fldChar w:fldCharType="separate"/>
          </w:r>
          <w:r>
            <w:rPr>
              <w:color w:val="auto"/>
            </w:rPr>
            <w:t>61</w:t>
          </w:r>
          <w:r>
            <w:rPr>
              <w:rFonts w:hint="eastAsia"/>
              <w:color w:val="auto"/>
            </w:rPr>
            <w:fldChar w:fldCharType="end"/>
          </w:r>
          <w:r>
            <w:rPr>
              <w:rFonts w:hint="eastAsia"/>
              <w:color w:val="auto"/>
            </w:rPr>
            <w:fldChar w:fldCharType="end"/>
          </w:r>
        </w:p>
        <w:p w14:paraId="4E9B264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"_Toc225513263" </w:instrText>
          </w:r>
          <w:r>
            <w:rPr>
              <w:color w:val="auto"/>
            </w:rPr>
            <w:fldChar w:fldCharType="separate"/>
          </w:r>
          <w:r>
            <w:rPr>
              <w:rStyle w:val="36"/>
              <w:rFonts w:hint="eastAsia"/>
              <w:color w:val="auto"/>
            </w:rPr>
            <w:t>二、畅通城乡要素双向流动</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_Toc225513263 \h</w:instrText>
          </w:r>
          <w:r>
            <w:rPr>
              <w:rFonts w:hint="eastAsia"/>
              <w:color w:val="auto"/>
            </w:rPr>
            <w:instrText xml:space="preserve"> </w:instrText>
          </w:r>
          <w:r>
            <w:rPr>
              <w:rFonts w:hint="eastAsia"/>
              <w:color w:val="auto"/>
            </w:rPr>
            <w:fldChar w:fldCharType="separate"/>
          </w:r>
          <w:r>
            <w:rPr>
              <w:color w:val="auto"/>
            </w:rPr>
            <w:t>61</w:t>
          </w:r>
          <w:r>
            <w:rPr>
              <w:rFonts w:hint="eastAsia"/>
              <w:color w:val="auto"/>
            </w:rPr>
            <w:fldChar w:fldCharType="end"/>
          </w:r>
          <w:r>
            <w:rPr>
              <w:rFonts w:hint="eastAsia"/>
              <w:color w:val="auto"/>
            </w:rPr>
            <w:fldChar w:fldCharType="end"/>
          </w:r>
        </w:p>
        <w:p w14:paraId="31178D04">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"_Toc225513264" </w:instrText>
          </w:r>
          <w:r>
            <w:rPr>
              <w:color w:val="auto"/>
            </w:rPr>
            <w:fldChar w:fldCharType="separate"/>
          </w:r>
          <w:r>
            <w:rPr>
              <w:rStyle w:val="36"/>
              <w:rFonts w:hint="eastAsia"/>
              <w:color w:val="auto"/>
            </w:rPr>
            <w:t>三、推进城乡基础设施一体化和公共服务均等化</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_Toc225513264 \h</w:instrText>
          </w:r>
          <w:r>
            <w:rPr>
              <w:rFonts w:hint="eastAsia"/>
              <w:color w:val="auto"/>
            </w:rPr>
            <w:instrText xml:space="preserve"> </w:instrText>
          </w:r>
          <w:r>
            <w:rPr>
              <w:rFonts w:hint="eastAsia"/>
              <w:color w:val="auto"/>
            </w:rPr>
            <w:fldChar w:fldCharType="separate"/>
          </w:r>
          <w:r>
            <w:rPr>
              <w:color w:val="auto"/>
            </w:rPr>
            <w:t>62</w:t>
          </w:r>
          <w:r>
            <w:rPr>
              <w:rFonts w:hint="eastAsia"/>
              <w:color w:val="auto"/>
            </w:rPr>
            <w:fldChar w:fldCharType="end"/>
          </w:r>
          <w:r>
            <w:rPr>
              <w:rFonts w:hint="eastAsia"/>
              <w:color w:val="auto"/>
            </w:rPr>
            <w:fldChar w:fldCharType="end"/>
          </w:r>
        </w:p>
        <w:p w14:paraId="6F89A087">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"_Toc225513265" </w:instrText>
          </w:r>
          <w:r>
            <w:rPr>
              <w:color w:val="auto"/>
            </w:rPr>
            <w:fldChar w:fldCharType="separate"/>
          </w:r>
          <w:r>
            <w:rPr>
              <w:rStyle w:val="36"/>
              <w:rFonts w:hint="eastAsia"/>
              <w:color w:val="auto"/>
            </w:rPr>
            <w:t>第四章 借势区域战略融入省会发展</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_Toc225513265 \h</w:instrText>
          </w:r>
          <w:r>
            <w:rPr>
              <w:rFonts w:hint="eastAsia"/>
              <w:color w:val="auto"/>
            </w:rPr>
            <w:instrText xml:space="preserve"> </w:instrText>
          </w:r>
          <w:r>
            <w:rPr>
              <w:rFonts w:hint="eastAsia"/>
              <w:color w:val="auto"/>
            </w:rPr>
            <w:fldChar w:fldCharType="separate"/>
          </w:r>
          <w:r>
            <w:rPr>
              <w:color w:val="auto"/>
            </w:rPr>
            <w:t>62</w:t>
          </w:r>
          <w:r>
            <w:rPr>
              <w:rFonts w:hint="eastAsia"/>
              <w:color w:val="auto"/>
            </w:rPr>
            <w:fldChar w:fldCharType="end"/>
          </w:r>
          <w:r>
            <w:rPr>
              <w:rFonts w:hint="eastAsia"/>
              <w:color w:val="auto"/>
            </w:rPr>
            <w:fldChar w:fldCharType="end"/>
          </w:r>
        </w:p>
        <w:p w14:paraId="0DE03F3A">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"_Toc225513266" </w:instrText>
          </w:r>
          <w:r>
            <w:rPr>
              <w:color w:val="auto"/>
            </w:rPr>
            <w:fldChar w:fldCharType="separate"/>
          </w:r>
          <w:r>
            <w:rPr>
              <w:rStyle w:val="36"/>
              <w:rFonts w:hint="eastAsia"/>
              <w:color w:val="auto"/>
            </w:rPr>
            <w:t>一、深化生态共建共享</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_Toc225513266 \h</w:instrText>
          </w:r>
          <w:r>
            <w:rPr>
              <w:rFonts w:hint="eastAsia"/>
              <w:color w:val="auto"/>
            </w:rPr>
            <w:instrText xml:space="preserve"> </w:instrText>
          </w:r>
          <w:r>
            <w:rPr>
              <w:rFonts w:hint="eastAsia"/>
              <w:color w:val="auto"/>
            </w:rPr>
            <w:fldChar w:fldCharType="separate"/>
          </w:r>
          <w:r>
            <w:rPr>
              <w:color w:val="auto"/>
            </w:rPr>
            <w:t>62</w:t>
          </w:r>
          <w:r>
            <w:rPr>
              <w:rFonts w:hint="eastAsia"/>
              <w:color w:val="auto"/>
            </w:rPr>
            <w:fldChar w:fldCharType="end"/>
          </w:r>
          <w:r>
            <w:rPr>
              <w:rFonts w:hint="eastAsia"/>
              <w:color w:val="auto"/>
            </w:rPr>
            <w:fldChar w:fldCharType="end"/>
          </w:r>
        </w:p>
        <w:p w14:paraId="6EE64200">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"_Toc225513267" </w:instrText>
          </w:r>
          <w:r>
            <w:rPr>
              <w:color w:val="auto"/>
            </w:rPr>
            <w:fldChar w:fldCharType="separate"/>
          </w:r>
          <w:r>
            <w:rPr>
              <w:rStyle w:val="36"/>
              <w:rFonts w:hint="eastAsia"/>
              <w:color w:val="auto"/>
            </w:rPr>
            <w:t>二、推动产业协同发展</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_Toc225513267 \h</w:instrText>
          </w:r>
          <w:r>
            <w:rPr>
              <w:rFonts w:hint="eastAsia"/>
              <w:color w:val="auto"/>
            </w:rPr>
            <w:instrText xml:space="preserve"> </w:instrText>
          </w:r>
          <w:r>
            <w:rPr>
              <w:rFonts w:hint="eastAsia"/>
              <w:color w:val="auto"/>
            </w:rPr>
            <w:fldChar w:fldCharType="separate"/>
          </w:r>
          <w:r>
            <w:rPr>
              <w:color w:val="auto"/>
            </w:rPr>
            <w:t>62</w:t>
          </w:r>
          <w:r>
            <w:rPr>
              <w:rFonts w:hint="eastAsia"/>
              <w:color w:val="auto"/>
            </w:rPr>
            <w:fldChar w:fldCharType="end"/>
          </w:r>
          <w:r>
            <w:rPr>
              <w:rFonts w:hint="eastAsia"/>
              <w:color w:val="auto"/>
            </w:rPr>
            <w:fldChar w:fldCharType="end"/>
          </w:r>
        </w:p>
        <w:p w14:paraId="127EE11B">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"_Toc225513268" </w:instrText>
          </w:r>
          <w:r>
            <w:rPr>
              <w:color w:val="auto"/>
            </w:rPr>
            <w:fldChar w:fldCharType="separate"/>
          </w:r>
          <w:r>
            <w:rPr>
              <w:rStyle w:val="36"/>
              <w:rFonts w:hint="eastAsia"/>
              <w:color w:val="auto"/>
            </w:rPr>
            <w:t>三、加强交通互联互通</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_Toc225513268 \h</w:instrText>
          </w:r>
          <w:r>
            <w:rPr>
              <w:rFonts w:hint="eastAsia"/>
              <w:color w:val="auto"/>
            </w:rPr>
            <w:instrText xml:space="preserve"> </w:instrText>
          </w:r>
          <w:r>
            <w:rPr>
              <w:rFonts w:hint="eastAsia"/>
              <w:color w:val="auto"/>
            </w:rPr>
            <w:fldChar w:fldCharType="separate"/>
          </w:r>
          <w:r>
            <w:rPr>
              <w:color w:val="auto"/>
            </w:rPr>
            <w:t>63</w:t>
          </w:r>
          <w:r>
            <w:rPr>
              <w:rFonts w:hint="eastAsia"/>
              <w:color w:val="auto"/>
            </w:rPr>
            <w:fldChar w:fldCharType="end"/>
          </w:r>
          <w:r>
            <w:rPr>
              <w:rFonts w:hint="eastAsia"/>
              <w:color w:val="auto"/>
            </w:rPr>
            <w:fldChar w:fldCharType="end"/>
          </w:r>
        </w:p>
        <w:p w14:paraId="288E79E3">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"_Toc225513269" </w:instrText>
          </w:r>
          <w:r>
            <w:rPr>
              <w:color w:val="auto"/>
            </w:rPr>
            <w:fldChar w:fldCharType="separate"/>
          </w:r>
          <w:r>
            <w:rPr>
              <w:rStyle w:val="36"/>
              <w:rFonts w:hint="eastAsia"/>
              <w:color w:val="auto"/>
            </w:rPr>
            <w:t>第五章 以乡镇组团构建差异化发展空间格局</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_Toc225513269 \h</w:instrText>
          </w:r>
          <w:r>
            <w:rPr>
              <w:rFonts w:hint="eastAsia"/>
              <w:color w:val="auto"/>
            </w:rPr>
            <w:instrText xml:space="preserve"> </w:instrText>
          </w:r>
          <w:r>
            <w:rPr>
              <w:rFonts w:hint="eastAsia"/>
              <w:color w:val="auto"/>
            </w:rPr>
            <w:fldChar w:fldCharType="separate"/>
          </w:r>
          <w:r>
            <w:rPr>
              <w:color w:val="auto"/>
            </w:rPr>
            <w:t>63</w:t>
          </w:r>
          <w:r>
            <w:rPr>
              <w:rFonts w:hint="eastAsia"/>
              <w:color w:val="auto"/>
            </w:rPr>
            <w:fldChar w:fldCharType="end"/>
          </w:r>
          <w:r>
            <w:rPr>
              <w:rFonts w:hint="eastAsia"/>
              <w:color w:val="auto"/>
            </w:rPr>
            <w:fldChar w:fldCharType="end"/>
          </w:r>
        </w:p>
        <w:p w14:paraId="7CE6D254">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"_Toc225513270" </w:instrText>
          </w:r>
          <w:r>
            <w:rPr>
              <w:color w:val="auto"/>
            </w:rPr>
            <w:fldChar w:fldCharType="separate"/>
          </w:r>
          <w:r>
            <w:rPr>
              <w:rStyle w:val="36"/>
              <w:rFonts w:hint="eastAsia"/>
              <w:color w:val="auto"/>
            </w:rPr>
            <w:t>一、红色文旅核心组团</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_Toc225513270 \h</w:instrText>
          </w:r>
          <w:r>
            <w:rPr>
              <w:rFonts w:hint="eastAsia"/>
              <w:color w:val="auto"/>
            </w:rPr>
            <w:instrText xml:space="preserve"> </w:instrText>
          </w:r>
          <w:r>
            <w:rPr>
              <w:rFonts w:hint="eastAsia"/>
              <w:color w:val="auto"/>
            </w:rPr>
            <w:fldChar w:fldCharType="separate"/>
          </w:r>
          <w:r>
            <w:rPr>
              <w:color w:val="auto"/>
            </w:rPr>
            <w:t>63</w:t>
          </w:r>
          <w:r>
            <w:rPr>
              <w:rFonts w:hint="eastAsia"/>
              <w:color w:val="auto"/>
            </w:rPr>
            <w:fldChar w:fldCharType="end"/>
          </w:r>
          <w:r>
            <w:rPr>
              <w:rFonts w:hint="eastAsia"/>
              <w:color w:val="auto"/>
            </w:rPr>
            <w:fldChar w:fldCharType="end"/>
          </w:r>
        </w:p>
        <w:p w14:paraId="3E1FCAB1">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"_Toc225513271" </w:instrText>
          </w:r>
          <w:r>
            <w:rPr>
              <w:color w:val="auto"/>
            </w:rPr>
            <w:fldChar w:fldCharType="separate"/>
          </w:r>
          <w:r>
            <w:rPr>
              <w:rStyle w:val="36"/>
              <w:rFonts w:hint="eastAsia"/>
              <w:color w:val="auto"/>
            </w:rPr>
            <w:t>二、生态康养度假组团</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_Toc225513271 \h</w:instrText>
          </w:r>
          <w:r>
            <w:rPr>
              <w:rFonts w:hint="eastAsia"/>
              <w:color w:val="auto"/>
            </w:rPr>
            <w:instrText xml:space="preserve"> </w:instrText>
          </w:r>
          <w:r>
            <w:rPr>
              <w:rFonts w:hint="eastAsia"/>
              <w:color w:val="auto"/>
            </w:rPr>
            <w:fldChar w:fldCharType="separate"/>
          </w:r>
          <w:r>
            <w:rPr>
              <w:color w:val="auto"/>
            </w:rPr>
            <w:t>63</w:t>
          </w:r>
          <w:r>
            <w:rPr>
              <w:rFonts w:hint="eastAsia"/>
              <w:color w:val="auto"/>
            </w:rPr>
            <w:fldChar w:fldCharType="end"/>
          </w:r>
          <w:r>
            <w:rPr>
              <w:rFonts w:hint="eastAsia"/>
              <w:color w:val="auto"/>
            </w:rPr>
            <w:fldChar w:fldCharType="end"/>
          </w:r>
        </w:p>
        <w:p w14:paraId="64AFAA9C">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"_Toc225513272" </w:instrText>
          </w:r>
          <w:r>
            <w:rPr>
              <w:color w:val="auto"/>
            </w:rPr>
            <w:fldChar w:fldCharType="separate"/>
          </w:r>
          <w:r>
            <w:rPr>
              <w:rStyle w:val="36"/>
              <w:rFonts w:hint="eastAsia"/>
              <w:color w:val="auto"/>
            </w:rPr>
            <w:t>三、特色农业集聚组团</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_Toc225513272 \h</w:instrText>
          </w:r>
          <w:r>
            <w:rPr>
              <w:rFonts w:hint="eastAsia"/>
              <w:color w:val="auto"/>
            </w:rPr>
            <w:instrText xml:space="preserve"> </w:instrText>
          </w:r>
          <w:r>
            <w:rPr>
              <w:rFonts w:hint="eastAsia"/>
              <w:color w:val="auto"/>
            </w:rPr>
            <w:fldChar w:fldCharType="separate"/>
          </w:r>
          <w:r>
            <w:rPr>
              <w:color w:val="auto"/>
            </w:rPr>
            <w:t>64</w:t>
          </w:r>
          <w:r>
            <w:rPr>
              <w:rFonts w:hint="eastAsia"/>
              <w:color w:val="auto"/>
            </w:rPr>
            <w:fldChar w:fldCharType="end"/>
          </w:r>
          <w:r>
            <w:rPr>
              <w:rFonts w:hint="eastAsia"/>
              <w:color w:val="auto"/>
            </w:rPr>
            <w:fldChar w:fldCharType="end"/>
          </w:r>
        </w:p>
        <w:p w14:paraId="4231195C">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"_Toc225513273" </w:instrText>
          </w:r>
          <w:r>
            <w:rPr>
              <w:color w:val="auto"/>
            </w:rPr>
            <w:fldChar w:fldCharType="separate"/>
          </w:r>
          <w:r>
            <w:rPr>
              <w:rStyle w:val="36"/>
              <w:rFonts w:hint="eastAsia"/>
              <w:color w:val="auto"/>
            </w:rPr>
            <w:t>四、工业转型与城乡融合组团</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_Toc225513273 \h</w:instrText>
          </w:r>
          <w:r>
            <w:rPr>
              <w:rFonts w:hint="eastAsia"/>
              <w:color w:val="auto"/>
            </w:rPr>
            <w:instrText xml:space="preserve"> </w:instrText>
          </w:r>
          <w:r>
            <w:rPr>
              <w:rFonts w:hint="eastAsia"/>
              <w:color w:val="auto"/>
            </w:rPr>
            <w:fldChar w:fldCharType="separate"/>
          </w:r>
          <w:r>
            <w:rPr>
              <w:color w:val="auto"/>
            </w:rPr>
            <w:t>64</w:t>
          </w:r>
          <w:r>
            <w:rPr>
              <w:rFonts w:hint="eastAsia"/>
              <w:color w:val="auto"/>
            </w:rPr>
            <w:fldChar w:fldCharType="end"/>
          </w:r>
          <w:r>
            <w:rPr>
              <w:rFonts w:hint="eastAsia"/>
              <w:color w:val="auto"/>
            </w:rPr>
            <w:fldChar w:fldCharType="end"/>
          </w:r>
        </w:p>
        <w:p w14:paraId="70A6AD78">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"_Toc225513274" </w:instrText>
          </w:r>
          <w:r>
            <w:rPr>
              <w:color w:val="auto"/>
            </w:rPr>
            <w:fldChar w:fldCharType="separate"/>
          </w:r>
          <w:r>
            <w:rPr>
              <w:rStyle w:val="36"/>
              <w:rFonts w:hint="eastAsia"/>
              <w:color w:val="auto"/>
            </w:rPr>
            <w:t xml:space="preserve">第七篇 </w:t>
          </w:r>
          <w:r>
            <w:rPr>
              <w:rStyle w:val="36"/>
              <w:rFonts w:hint="eastAsia" w:cs="黑体"/>
              <w:color w:val="auto"/>
            </w:rPr>
            <w:t>加快农业农村现代化，扎实推进乡村全面振兴</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_Toc225513274 \h</w:instrText>
          </w:r>
          <w:r>
            <w:rPr>
              <w:rFonts w:hint="eastAsia"/>
              <w:color w:val="auto"/>
            </w:rPr>
            <w:instrText xml:space="preserve"> </w:instrText>
          </w:r>
          <w:r>
            <w:rPr>
              <w:rFonts w:hint="eastAsia"/>
              <w:color w:val="auto"/>
            </w:rPr>
            <w:fldChar w:fldCharType="separate"/>
          </w:r>
          <w:r>
            <w:rPr>
              <w:color w:val="auto"/>
            </w:rPr>
            <w:t>66</w:t>
          </w:r>
          <w:r>
            <w:rPr>
              <w:rFonts w:hint="eastAsia"/>
              <w:color w:val="auto"/>
            </w:rPr>
            <w:fldChar w:fldCharType="end"/>
          </w:r>
          <w:r>
            <w:rPr>
              <w:rFonts w:hint="eastAsia"/>
              <w:color w:val="auto"/>
            </w:rPr>
            <w:fldChar w:fldCharType="end"/>
          </w:r>
        </w:p>
        <w:p w14:paraId="4559C6A2">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"_Toc225513275" </w:instrText>
          </w:r>
          <w:r>
            <w:rPr>
              <w:color w:val="auto"/>
            </w:rPr>
            <w:fldChar w:fldCharType="separate"/>
          </w:r>
          <w:r>
            <w:rPr>
              <w:rStyle w:val="36"/>
              <w:rFonts w:hint="eastAsia"/>
              <w:color w:val="auto"/>
            </w:rPr>
            <w:t>第一章 加快农业现代化</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_Toc225513275 \h</w:instrText>
          </w:r>
          <w:r>
            <w:rPr>
              <w:rFonts w:hint="eastAsia"/>
              <w:color w:val="auto"/>
            </w:rPr>
            <w:instrText xml:space="preserve"> </w:instrText>
          </w:r>
          <w:r>
            <w:rPr>
              <w:rFonts w:hint="eastAsia"/>
              <w:color w:val="auto"/>
            </w:rPr>
            <w:fldChar w:fldCharType="separate"/>
          </w:r>
          <w:r>
            <w:rPr>
              <w:color w:val="auto"/>
            </w:rPr>
            <w:t>66</w:t>
          </w:r>
          <w:r>
            <w:rPr>
              <w:rFonts w:hint="eastAsia"/>
              <w:color w:val="auto"/>
            </w:rPr>
            <w:fldChar w:fldCharType="end"/>
          </w:r>
          <w:r>
            <w:rPr>
              <w:rFonts w:hint="eastAsia"/>
              <w:color w:val="auto"/>
            </w:rPr>
            <w:fldChar w:fldCharType="end"/>
          </w:r>
        </w:p>
        <w:p w14:paraId="20262060">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"_Toc225513276" </w:instrText>
          </w:r>
          <w:r>
            <w:rPr>
              <w:color w:val="auto"/>
            </w:rPr>
            <w:fldChar w:fldCharType="separate"/>
          </w:r>
          <w:r>
            <w:rPr>
              <w:rStyle w:val="36"/>
              <w:rFonts w:hint="eastAsia"/>
              <w:color w:val="auto"/>
            </w:rPr>
            <w:t>一、提升农业综合生产能力</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_Toc225513276 \h</w:instrText>
          </w:r>
          <w:r>
            <w:rPr>
              <w:rFonts w:hint="eastAsia"/>
              <w:color w:val="auto"/>
            </w:rPr>
            <w:instrText xml:space="preserve"> </w:instrText>
          </w:r>
          <w:r>
            <w:rPr>
              <w:rFonts w:hint="eastAsia"/>
              <w:color w:val="auto"/>
            </w:rPr>
            <w:fldChar w:fldCharType="separate"/>
          </w:r>
          <w:r>
            <w:rPr>
              <w:color w:val="auto"/>
            </w:rPr>
            <w:t>66</w:t>
          </w:r>
          <w:r>
            <w:rPr>
              <w:rFonts w:hint="eastAsia"/>
              <w:color w:val="auto"/>
            </w:rPr>
            <w:fldChar w:fldCharType="end"/>
          </w:r>
          <w:r>
            <w:rPr>
              <w:rFonts w:hint="eastAsia"/>
              <w:color w:val="auto"/>
            </w:rPr>
            <w:fldChar w:fldCharType="end"/>
          </w:r>
        </w:p>
        <w:p w14:paraId="71B4CF73">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"_Toc225513277" </w:instrText>
          </w:r>
          <w:r>
            <w:rPr>
              <w:color w:val="auto"/>
            </w:rPr>
            <w:fldChar w:fldCharType="separate"/>
          </w:r>
          <w:r>
            <w:rPr>
              <w:rStyle w:val="36"/>
              <w:rFonts w:hint="eastAsia"/>
              <w:color w:val="auto"/>
            </w:rPr>
            <w:t>二、</w:t>
          </w:r>
          <w:r>
            <w:rPr>
              <w:rStyle w:val="36"/>
              <w:rFonts w:hint="eastAsia" w:ascii="仿宋_GB2312" w:hAnsi="仿宋_GB2312" w:cs="仿宋_GB2312"/>
              <w:bCs/>
              <w:color w:val="auto"/>
            </w:rPr>
            <w:t>推动特色农业高质量发展</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_Toc225513277 \h</w:instrText>
          </w:r>
          <w:r>
            <w:rPr>
              <w:rFonts w:hint="eastAsia"/>
              <w:color w:val="auto"/>
            </w:rPr>
            <w:instrText xml:space="preserve"> </w:instrText>
          </w:r>
          <w:r>
            <w:rPr>
              <w:rFonts w:hint="eastAsia"/>
              <w:color w:val="auto"/>
            </w:rPr>
            <w:fldChar w:fldCharType="separate"/>
          </w:r>
          <w:r>
            <w:rPr>
              <w:color w:val="auto"/>
            </w:rPr>
            <w:t>66</w:t>
          </w:r>
          <w:r>
            <w:rPr>
              <w:rFonts w:hint="eastAsia"/>
              <w:color w:val="auto"/>
            </w:rPr>
            <w:fldChar w:fldCharType="end"/>
          </w:r>
          <w:r>
            <w:rPr>
              <w:rFonts w:hint="eastAsia"/>
              <w:color w:val="auto"/>
            </w:rPr>
            <w:fldChar w:fldCharType="end"/>
          </w:r>
        </w:p>
        <w:p w14:paraId="4087610B">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"_Toc225513278" </w:instrText>
          </w:r>
          <w:r>
            <w:rPr>
              <w:color w:val="auto"/>
            </w:rPr>
            <w:fldChar w:fldCharType="separate"/>
          </w:r>
          <w:r>
            <w:rPr>
              <w:rStyle w:val="36"/>
              <w:rFonts w:hint="eastAsia"/>
              <w:color w:val="auto"/>
            </w:rPr>
            <w:t>三、推动农业“接二连三”发展</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_Toc225513278 \h</w:instrText>
          </w:r>
          <w:r>
            <w:rPr>
              <w:rFonts w:hint="eastAsia"/>
              <w:color w:val="auto"/>
            </w:rPr>
            <w:instrText xml:space="preserve"> </w:instrText>
          </w:r>
          <w:r>
            <w:rPr>
              <w:rFonts w:hint="eastAsia"/>
              <w:color w:val="auto"/>
            </w:rPr>
            <w:fldChar w:fldCharType="separate"/>
          </w:r>
          <w:r>
            <w:rPr>
              <w:color w:val="auto"/>
            </w:rPr>
            <w:t>67</w:t>
          </w:r>
          <w:r>
            <w:rPr>
              <w:rFonts w:hint="eastAsia"/>
              <w:color w:val="auto"/>
            </w:rPr>
            <w:fldChar w:fldCharType="end"/>
          </w:r>
          <w:r>
            <w:rPr>
              <w:rFonts w:hint="eastAsia"/>
              <w:color w:val="auto"/>
            </w:rPr>
            <w:fldChar w:fldCharType="end"/>
          </w:r>
        </w:p>
        <w:p w14:paraId="24A2BCFD">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"_Toc225513279" </w:instrText>
          </w:r>
          <w:r>
            <w:rPr>
              <w:color w:val="auto"/>
            </w:rPr>
            <w:fldChar w:fldCharType="separate"/>
          </w:r>
          <w:r>
            <w:rPr>
              <w:rStyle w:val="36"/>
              <w:rFonts w:hint="eastAsia"/>
              <w:color w:val="auto"/>
            </w:rPr>
            <w:t>四、促进农村居民稳定增收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_Toc225513279 \h</w:instrText>
          </w:r>
          <w:r>
            <w:rPr>
              <w:rFonts w:hint="eastAsia"/>
              <w:color w:val="auto"/>
            </w:rPr>
            <w:instrText xml:space="preserve"> </w:instrText>
          </w:r>
          <w:r>
            <w:rPr>
              <w:rFonts w:hint="eastAsia"/>
              <w:color w:val="auto"/>
            </w:rPr>
            <w:fldChar w:fldCharType="separate"/>
          </w:r>
          <w:r>
            <w:rPr>
              <w:color w:val="auto"/>
            </w:rPr>
            <w:t>68</w:t>
          </w:r>
          <w:r>
            <w:rPr>
              <w:rFonts w:hint="eastAsia"/>
              <w:color w:val="auto"/>
            </w:rPr>
            <w:fldChar w:fldCharType="end"/>
          </w:r>
          <w:r>
            <w:rPr>
              <w:rFonts w:hint="eastAsia"/>
              <w:color w:val="auto"/>
            </w:rPr>
            <w:fldChar w:fldCharType="end"/>
          </w:r>
        </w:p>
        <w:p w14:paraId="1238EF29">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"_Toc225513280" </w:instrText>
          </w:r>
          <w:r>
            <w:rPr>
              <w:color w:val="auto"/>
            </w:rPr>
            <w:fldChar w:fldCharType="separate"/>
          </w:r>
          <w:r>
            <w:rPr>
              <w:rStyle w:val="36"/>
              <w:rFonts w:hint="eastAsia"/>
              <w:color w:val="auto"/>
            </w:rPr>
            <w:t>第二章 推进宜居宜业和美乡村建设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_Toc225513280 \h</w:instrText>
          </w:r>
          <w:r>
            <w:rPr>
              <w:rFonts w:hint="eastAsia"/>
              <w:color w:val="auto"/>
            </w:rPr>
            <w:instrText xml:space="preserve"> </w:instrText>
          </w:r>
          <w:r>
            <w:rPr>
              <w:rFonts w:hint="eastAsia"/>
              <w:color w:val="auto"/>
            </w:rPr>
            <w:fldChar w:fldCharType="separate"/>
          </w:r>
          <w:r>
            <w:rPr>
              <w:color w:val="auto"/>
            </w:rPr>
            <w:t>69</w:t>
          </w:r>
          <w:r>
            <w:rPr>
              <w:rFonts w:hint="eastAsia"/>
              <w:color w:val="auto"/>
            </w:rPr>
            <w:fldChar w:fldCharType="end"/>
          </w:r>
          <w:r>
            <w:rPr>
              <w:rFonts w:hint="eastAsia"/>
              <w:color w:val="auto"/>
            </w:rPr>
            <w:fldChar w:fldCharType="end"/>
          </w:r>
        </w:p>
        <w:p w14:paraId="2D3BA2AE">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"_Toc225513281" </w:instrText>
          </w:r>
          <w:r>
            <w:rPr>
              <w:color w:val="auto"/>
            </w:rPr>
            <w:fldChar w:fldCharType="separate"/>
          </w:r>
          <w:r>
            <w:rPr>
              <w:rStyle w:val="36"/>
              <w:rFonts w:hint="eastAsia"/>
              <w:color w:val="auto"/>
            </w:rPr>
            <w:t>一、推进乡村基础设施提档升级</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_Toc225513281 \h</w:instrText>
          </w:r>
          <w:r>
            <w:rPr>
              <w:rFonts w:hint="eastAsia"/>
              <w:color w:val="auto"/>
            </w:rPr>
            <w:instrText xml:space="preserve"> </w:instrText>
          </w:r>
          <w:r>
            <w:rPr>
              <w:rFonts w:hint="eastAsia"/>
              <w:color w:val="auto"/>
            </w:rPr>
            <w:fldChar w:fldCharType="separate"/>
          </w:r>
          <w:r>
            <w:rPr>
              <w:color w:val="auto"/>
            </w:rPr>
            <w:t>69</w:t>
          </w:r>
          <w:r>
            <w:rPr>
              <w:rFonts w:hint="eastAsia"/>
              <w:color w:val="auto"/>
            </w:rPr>
            <w:fldChar w:fldCharType="end"/>
          </w:r>
          <w:r>
            <w:rPr>
              <w:rFonts w:hint="eastAsia"/>
              <w:color w:val="auto"/>
            </w:rPr>
            <w:fldChar w:fldCharType="end"/>
          </w:r>
        </w:p>
        <w:p w14:paraId="63DCBC2F">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"_Toc225513282" </w:instrText>
          </w:r>
          <w:r>
            <w:rPr>
              <w:color w:val="auto"/>
            </w:rPr>
            <w:fldChar w:fldCharType="separate"/>
          </w:r>
          <w:r>
            <w:rPr>
              <w:rStyle w:val="36"/>
              <w:rFonts w:hint="eastAsia"/>
              <w:color w:val="auto"/>
            </w:rPr>
            <w:t>二、实施人居环境整治提升行动</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_Toc225513282 \h</w:instrText>
          </w:r>
          <w:r>
            <w:rPr>
              <w:rFonts w:hint="eastAsia"/>
              <w:color w:val="auto"/>
            </w:rPr>
            <w:instrText xml:space="preserve"> </w:instrText>
          </w:r>
          <w:r>
            <w:rPr>
              <w:rFonts w:hint="eastAsia"/>
              <w:color w:val="auto"/>
            </w:rPr>
            <w:fldChar w:fldCharType="separate"/>
          </w:r>
          <w:r>
            <w:rPr>
              <w:color w:val="auto"/>
            </w:rPr>
            <w:t>69</w:t>
          </w:r>
          <w:r>
            <w:rPr>
              <w:rFonts w:hint="eastAsia"/>
              <w:color w:val="auto"/>
            </w:rPr>
            <w:fldChar w:fldCharType="end"/>
          </w:r>
          <w:r>
            <w:rPr>
              <w:rFonts w:hint="eastAsia"/>
              <w:color w:val="auto"/>
            </w:rPr>
            <w:fldChar w:fldCharType="end"/>
          </w:r>
        </w:p>
        <w:p w14:paraId="262C4226">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"_Toc225513283" </w:instrText>
          </w:r>
          <w:r>
            <w:rPr>
              <w:color w:val="auto"/>
            </w:rPr>
            <w:fldChar w:fldCharType="separate"/>
          </w:r>
          <w:r>
            <w:rPr>
              <w:rStyle w:val="36"/>
              <w:rFonts w:hint="eastAsia"/>
              <w:color w:val="auto"/>
            </w:rPr>
            <w:t>三、推进和美乡村重点片区建设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_Toc225513283 \h</w:instrText>
          </w:r>
          <w:r>
            <w:rPr>
              <w:rFonts w:hint="eastAsia"/>
              <w:color w:val="auto"/>
            </w:rPr>
            <w:instrText xml:space="preserve"> </w:instrText>
          </w:r>
          <w:r>
            <w:rPr>
              <w:rFonts w:hint="eastAsia"/>
              <w:color w:val="auto"/>
            </w:rPr>
            <w:fldChar w:fldCharType="separate"/>
          </w:r>
          <w:r>
            <w:rPr>
              <w:color w:val="auto"/>
            </w:rPr>
            <w:t>69</w:t>
          </w:r>
          <w:r>
            <w:rPr>
              <w:rFonts w:hint="eastAsia"/>
              <w:color w:val="auto"/>
            </w:rPr>
            <w:fldChar w:fldCharType="end"/>
          </w:r>
          <w:r>
            <w:rPr>
              <w:rFonts w:hint="eastAsia"/>
              <w:color w:val="auto"/>
            </w:rPr>
            <w:fldChar w:fldCharType="end"/>
          </w:r>
        </w:p>
        <w:p w14:paraId="0AF274F0">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"_Toc225513284" </w:instrText>
          </w:r>
          <w:r>
            <w:rPr>
              <w:color w:val="auto"/>
            </w:rPr>
            <w:fldChar w:fldCharType="separate"/>
          </w:r>
          <w:r>
            <w:rPr>
              <w:rStyle w:val="36"/>
              <w:rFonts w:hint="eastAsia"/>
              <w:color w:val="auto"/>
            </w:rPr>
            <w:t>第三章  深化农业农村改革</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_Toc225513284 \h</w:instrText>
          </w:r>
          <w:r>
            <w:rPr>
              <w:rFonts w:hint="eastAsia"/>
              <w:color w:val="auto"/>
            </w:rPr>
            <w:instrText xml:space="preserve"> </w:instrText>
          </w:r>
          <w:r>
            <w:rPr>
              <w:rFonts w:hint="eastAsia"/>
              <w:color w:val="auto"/>
            </w:rPr>
            <w:fldChar w:fldCharType="separate"/>
          </w:r>
          <w:r>
            <w:rPr>
              <w:color w:val="auto"/>
            </w:rPr>
            <w:t>70</w:t>
          </w:r>
          <w:r>
            <w:rPr>
              <w:rFonts w:hint="eastAsia"/>
              <w:color w:val="auto"/>
            </w:rPr>
            <w:fldChar w:fldCharType="end"/>
          </w:r>
          <w:r>
            <w:rPr>
              <w:rFonts w:hint="eastAsia"/>
              <w:color w:val="auto"/>
            </w:rPr>
            <w:fldChar w:fldCharType="end"/>
          </w:r>
        </w:p>
        <w:p w14:paraId="127CD975">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"_Toc225513285" </w:instrText>
          </w:r>
          <w:r>
            <w:rPr>
              <w:color w:val="auto"/>
            </w:rPr>
            <w:fldChar w:fldCharType="separate"/>
          </w:r>
          <w:r>
            <w:rPr>
              <w:rStyle w:val="36"/>
              <w:rFonts w:hint="eastAsia"/>
              <w:color w:val="auto"/>
            </w:rPr>
            <w:t>一、巩固完善农村基本经营制度</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_Toc225513285 \h</w:instrText>
          </w:r>
          <w:r>
            <w:rPr>
              <w:rFonts w:hint="eastAsia"/>
              <w:color w:val="auto"/>
            </w:rPr>
            <w:instrText xml:space="preserve"> </w:instrText>
          </w:r>
          <w:r>
            <w:rPr>
              <w:rFonts w:hint="eastAsia"/>
              <w:color w:val="auto"/>
            </w:rPr>
            <w:fldChar w:fldCharType="separate"/>
          </w:r>
          <w:r>
            <w:rPr>
              <w:color w:val="auto"/>
            </w:rPr>
            <w:t>70</w:t>
          </w:r>
          <w:r>
            <w:rPr>
              <w:rFonts w:hint="eastAsia"/>
              <w:color w:val="auto"/>
            </w:rPr>
            <w:fldChar w:fldCharType="end"/>
          </w:r>
          <w:r>
            <w:rPr>
              <w:rFonts w:hint="eastAsia"/>
              <w:color w:val="auto"/>
            </w:rPr>
            <w:fldChar w:fldCharType="end"/>
          </w:r>
        </w:p>
        <w:p w14:paraId="5AAF0ECE">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"_Toc225513286" </w:instrText>
          </w:r>
          <w:r>
            <w:rPr>
              <w:color w:val="auto"/>
            </w:rPr>
            <w:fldChar w:fldCharType="separate"/>
          </w:r>
          <w:r>
            <w:rPr>
              <w:rStyle w:val="36"/>
              <w:rFonts w:hint="eastAsia"/>
              <w:color w:val="auto"/>
            </w:rPr>
            <w:t>二、完善现代乡村治理体系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_Toc225513286 \h</w:instrText>
          </w:r>
          <w:r>
            <w:rPr>
              <w:rFonts w:hint="eastAsia"/>
              <w:color w:val="auto"/>
            </w:rPr>
            <w:instrText xml:space="preserve"> </w:instrText>
          </w:r>
          <w:r>
            <w:rPr>
              <w:rFonts w:hint="eastAsia"/>
              <w:color w:val="auto"/>
            </w:rPr>
            <w:fldChar w:fldCharType="separate"/>
          </w:r>
          <w:r>
            <w:rPr>
              <w:color w:val="auto"/>
            </w:rPr>
            <w:t>70</w:t>
          </w:r>
          <w:r>
            <w:rPr>
              <w:rFonts w:hint="eastAsia"/>
              <w:color w:val="auto"/>
            </w:rPr>
            <w:fldChar w:fldCharType="end"/>
          </w:r>
          <w:r>
            <w:rPr>
              <w:rFonts w:hint="eastAsia"/>
              <w:color w:val="auto"/>
            </w:rPr>
            <w:fldChar w:fldCharType="end"/>
          </w:r>
        </w:p>
        <w:p w14:paraId="08D7E29C">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"_Toc225513287" </w:instrText>
          </w:r>
          <w:r>
            <w:rPr>
              <w:color w:val="auto"/>
            </w:rPr>
            <w:fldChar w:fldCharType="separate"/>
          </w:r>
          <w:r>
            <w:rPr>
              <w:rStyle w:val="36"/>
              <w:rFonts w:hint="eastAsia"/>
              <w:color w:val="auto"/>
            </w:rPr>
            <w:t>三、加强乡村振兴要素保障</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_Toc225513287 \h</w:instrText>
          </w:r>
          <w:r>
            <w:rPr>
              <w:rFonts w:hint="eastAsia"/>
              <w:color w:val="auto"/>
            </w:rPr>
            <w:instrText xml:space="preserve"> </w:instrText>
          </w:r>
          <w:r>
            <w:rPr>
              <w:rFonts w:hint="eastAsia"/>
              <w:color w:val="auto"/>
            </w:rPr>
            <w:fldChar w:fldCharType="separate"/>
          </w:r>
          <w:r>
            <w:rPr>
              <w:color w:val="auto"/>
            </w:rPr>
            <w:t>71</w:t>
          </w:r>
          <w:r>
            <w:rPr>
              <w:rFonts w:hint="eastAsia"/>
              <w:color w:val="auto"/>
            </w:rPr>
            <w:fldChar w:fldCharType="end"/>
          </w:r>
          <w:r>
            <w:rPr>
              <w:rFonts w:hint="eastAsia"/>
              <w:color w:val="auto"/>
            </w:rPr>
            <w:fldChar w:fldCharType="end"/>
          </w:r>
        </w:p>
        <w:p w14:paraId="5D1D321E">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"_Toc225513288" </w:instrText>
          </w:r>
          <w:r>
            <w:rPr>
              <w:color w:val="auto"/>
            </w:rPr>
            <w:fldChar w:fldCharType="separate"/>
          </w:r>
          <w:r>
            <w:rPr>
              <w:rStyle w:val="36"/>
              <w:rFonts w:hint="eastAsia"/>
              <w:color w:val="auto"/>
            </w:rPr>
            <w:t xml:space="preserve">第四章 </w:t>
          </w:r>
          <w:r>
            <w:rPr>
              <w:rStyle w:val="36"/>
              <w:rFonts w:hint="eastAsia" w:ascii="宋体" w:hAnsi="宋体" w:eastAsia="宋体" w:cs="宋体"/>
              <w:color w:val="auto"/>
            </w:rPr>
            <w:t>完善常态化防止返贫致贫机制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_Toc225513288 \h</w:instrText>
          </w:r>
          <w:r>
            <w:rPr>
              <w:rFonts w:hint="eastAsia"/>
              <w:color w:val="auto"/>
            </w:rPr>
            <w:instrText xml:space="preserve"> </w:instrText>
          </w:r>
          <w:r>
            <w:rPr>
              <w:rFonts w:hint="eastAsia"/>
              <w:color w:val="auto"/>
            </w:rPr>
            <w:fldChar w:fldCharType="separate"/>
          </w:r>
          <w:r>
            <w:rPr>
              <w:color w:val="auto"/>
            </w:rPr>
            <w:t>71</w:t>
          </w:r>
          <w:r>
            <w:rPr>
              <w:rFonts w:hint="eastAsia"/>
              <w:color w:val="auto"/>
            </w:rPr>
            <w:fldChar w:fldCharType="end"/>
          </w:r>
          <w:r>
            <w:rPr>
              <w:rFonts w:hint="eastAsia"/>
              <w:color w:val="auto"/>
            </w:rPr>
            <w:fldChar w:fldCharType="end"/>
          </w:r>
        </w:p>
        <w:p w14:paraId="4418929F">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"_Toc225513289" </w:instrText>
          </w:r>
          <w:r>
            <w:rPr>
              <w:color w:val="auto"/>
            </w:rPr>
            <w:fldChar w:fldCharType="separate"/>
          </w:r>
          <w:r>
            <w:rPr>
              <w:rStyle w:val="36"/>
              <w:rFonts w:hint="eastAsia"/>
              <w:color w:val="auto"/>
            </w:rPr>
            <w:t>一、健全防止返贫动态监测与精准帮扶体系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_Toc225513289 \h</w:instrText>
          </w:r>
          <w:r>
            <w:rPr>
              <w:rFonts w:hint="eastAsia"/>
              <w:color w:val="auto"/>
            </w:rPr>
            <w:instrText xml:space="preserve"> </w:instrText>
          </w:r>
          <w:r>
            <w:rPr>
              <w:rFonts w:hint="eastAsia"/>
              <w:color w:val="auto"/>
            </w:rPr>
            <w:fldChar w:fldCharType="separate"/>
          </w:r>
          <w:r>
            <w:rPr>
              <w:color w:val="auto"/>
            </w:rPr>
            <w:t>71</w:t>
          </w:r>
          <w:r>
            <w:rPr>
              <w:rFonts w:hint="eastAsia"/>
              <w:color w:val="auto"/>
            </w:rPr>
            <w:fldChar w:fldCharType="end"/>
          </w:r>
          <w:r>
            <w:rPr>
              <w:rFonts w:hint="eastAsia"/>
              <w:color w:val="auto"/>
            </w:rPr>
            <w:fldChar w:fldCharType="end"/>
          </w:r>
        </w:p>
        <w:p w14:paraId="7DBDC2E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"_Toc225513290" </w:instrText>
          </w:r>
          <w:r>
            <w:rPr>
              <w:color w:val="auto"/>
            </w:rPr>
            <w:fldChar w:fldCharType="separate"/>
          </w:r>
          <w:r>
            <w:rPr>
              <w:rStyle w:val="36"/>
              <w:rFonts w:hint="eastAsia"/>
              <w:color w:val="auto"/>
            </w:rPr>
            <w:t>二、巩固拓展“两不愁三保障”及饮水安全成果</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_Toc225513290 \h</w:instrText>
          </w:r>
          <w:r>
            <w:rPr>
              <w:rFonts w:hint="eastAsia"/>
              <w:color w:val="auto"/>
            </w:rPr>
            <w:instrText xml:space="preserve"> </w:instrText>
          </w:r>
          <w:r>
            <w:rPr>
              <w:rFonts w:hint="eastAsia"/>
              <w:color w:val="auto"/>
            </w:rPr>
            <w:fldChar w:fldCharType="separate"/>
          </w:r>
          <w:r>
            <w:rPr>
              <w:color w:val="auto"/>
            </w:rPr>
            <w:t>72</w:t>
          </w:r>
          <w:r>
            <w:rPr>
              <w:rFonts w:hint="eastAsia"/>
              <w:color w:val="auto"/>
            </w:rPr>
            <w:fldChar w:fldCharType="end"/>
          </w:r>
          <w:r>
            <w:rPr>
              <w:rFonts w:hint="eastAsia"/>
              <w:color w:val="auto"/>
            </w:rPr>
            <w:fldChar w:fldCharType="end"/>
          </w:r>
        </w:p>
        <w:p w14:paraId="73EB6D16">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"_Toc225513291" </w:instrText>
          </w:r>
          <w:r>
            <w:rPr>
              <w:color w:val="auto"/>
            </w:rPr>
            <w:fldChar w:fldCharType="separate"/>
          </w:r>
          <w:r>
            <w:rPr>
              <w:rStyle w:val="36"/>
              <w:rFonts w:hint="eastAsia"/>
              <w:color w:val="auto"/>
            </w:rPr>
            <w:t>三、促进脱贫人口稳定增收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_Toc225513291 \h</w:instrText>
          </w:r>
          <w:r>
            <w:rPr>
              <w:rFonts w:hint="eastAsia"/>
              <w:color w:val="auto"/>
            </w:rPr>
            <w:instrText xml:space="preserve"> </w:instrText>
          </w:r>
          <w:r>
            <w:rPr>
              <w:rFonts w:hint="eastAsia"/>
              <w:color w:val="auto"/>
            </w:rPr>
            <w:fldChar w:fldCharType="separate"/>
          </w:r>
          <w:r>
            <w:rPr>
              <w:color w:val="auto"/>
            </w:rPr>
            <w:t>72</w:t>
          </w:r>
          <w:r>
            <w:rPr>
              <w:rFonts w:hint="eastAsia"/>
              <w:color w:val="auto"/>
            </w:rPr>
            <w:fldChar w:fldCharType="end"/>
          </w:r>
          <w:r>
            <w:rPr>
              <w:rFonts w:hint="eastAsia"/>
              <w:color w:val="auto"/>
            </w:rPr>
            <w:fldChar w:fldCharType="end"/>
          </w:r>
        </w:p>
        <w:p w14:paraId="29C4DC5B">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"_Toc225513292" </w:instrText>
          </w:r>
          <w:r>
            <w:rPr>
              <w:color w:val="auto"/>
            </w:rPr>
            <w:fldChar w:fldCharType="separate"/>
          </w:r>
          <w:r>
            <w:rPr>
              <w:rStyle w:val="36"/>
              <w:rFonts w:hint="eastAsia"/>
              <w:color w:val="auto"/>
            </w:rPr>
            <w:t>第八篇 深化改革开放，为高质量发展增添动力</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_Toc225513292 \h</w:instrText>
          </w:r>
          <w:r>
            <w:rPr>
              <w:rFonts w:hint="eastAsia"/>
              <w:color w:val="auto"/>
            </w:rPr>
            <w:instrText xml:space="preserve"> </w:instrText>
          </w:r>
          <w:r>
            <w:rPr>
              <w:rFonts w:hint="eastAsia"/>
              <w:color w:val="auto"/>
            </w:rPr>
            <w:fldChar w:fldCharType="separate"/>
          </w:r>
          <w:r>
            <w:rPr>
              <w:color w:val="auto"/>
            </w:rPr>
            <w:t>73</w:t>
          </w:r>
          <w:r>
            <w:rPr>
              <w:rFonts w:hint="eastAsia"/>
              <w:color w:val="auto"/>
            </w:rPr>
            <w:fldChar w:fldCharType="end"/>
          </w:r>
          <w:r>
            <w:rPr>
              <w:rFonts w:hint="eastAsia"/>
              <w:color w:val="auto"/>
            </w:rPr>
            <w:fldChar w:fldCharType="end"/>
          </w:r>
        </w:p>
        <w:p w14:paraId="0046502D">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"_Toc225513293" </w:instrText>
          </w:r>
          <w:r>
            <w:rPr>
              <w:color w:val="auto"/>
            </w:rPr>
            <w:fldChar w:fldCharType="separate"/>
          </w:r>
          <w:r>
            <w:rPr>
              <w:rStyle w:val="36"/>
              <w:rFonts w:hint="eastAsia"/>
              <w:color w:val="auto"/>
            </w:rPr>
            <w:t>第一章 推进重点领域改革</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_Toc225513293 \h</w:instrText>
          </w:r>
          <w:r>
            <w:rPr>
              <w:rFonts w:hint="eastAsia"/>
              <w:color w:val="auto"/>
            </w:rPr>
            <w:instrText xml:space="preserve"> </w:instrText>
          </w:r>
          <w:r>
            <w:rPr>
              <w:rFonts w:hint="eastAsia"/>
              <w:color w:val="auto"/>
            </w:rPr>
            <w:fldChar w:fldCharType="separate"/>
          </w:r>
          <w:r>
            <w:rPr>
              <w:color w:val="auto"/>
            </w:rPr>
            <w:t>73</w:t>
          </w:r>
          <w:r>
            <w:rPr>
              <w:rFonts w:hint="eastAsia"/>
              <w:color w:val="auto"/>
            </w:rPr>
            <w:fldChar w:fldCharType="end"/>
          </w:r>
          <w:r>
            <w:rPr>
              <w:rFonts w:hint="eastAsia"/>
              <w:color w:val="auto"/>
            </w:rPr>
            <w:fldChar w:fldCharType="end"/>
          </w:r>
        </w:p>
        <w:p w14:paraId="247E7BE8">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"_Toc225513294" </w:instrText>
          </w:r>
          <w:r>
            <w:rPr>
              <w:color w:val="auto"/>
            </w:rPr>
            <w:fldChar w:fldCharType="separate"/>
          </w:r>
          <w:r>
            <w:rPr>
              <w:rStyle w:val="36"/>
              <w:rFonts w:hint="eastAsia"/>
              <w:color w:val="auto"/>
            </w:rPr>
            <w:t>一、深化土地制度改革</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_Toc225513294 \h</w:instrText>
          </w:r>
          <w:r>
            <w:rPr>
              <w:rFonts w:hint="eastAsia"/>
              <w:color w:val="auto"/>
            </w:rPr>
            <w:instrText xml:space="preserve"> </w:instrText>
          </w:r>
          <w:r>
            <w:rPr>
              <w:rFonts w:hint="eastAsia"/>
              <w:color w:val="auto"/>
            </w:rPr>
            <w:fldChar w:fldCharType="separate"/>
          </w:r>
          <w:r>
            <w:rPr>
              <w:color w:val="auto"/>
            </w:rPr>
            <w:t>73</w:t>
          </w:r>
          <w:r>
            <w:rPr>
              <w:rFonts w:hint="eastAsia"/>
              <w:color w:val="auto"/>
            </w:rPr>
            <w:fldChar w:fldCharType="end"/>
          </w:r>
          <w:r>
            <w:rPr>
              <w:rFonts w:hint="eastAsia"/>
              <w:color w:val="auto"/>
            </w:rPr>
            <w:fldChar w:fldCharType="end"/>
          </w:r>
        </w:p>
        <w:p w14:paraId="2364378B">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"_Toc225513295" </w:instrText>
          </w:r>
          <w:r>
            <w:rPr>
              <w:color w:val="auto"/>
            </w:rPr>
            <w:fldChar w:fldCharType="separate"/>
          </w:r>
          <w:r>
            <w:rPr>
              <w:rStyle w:val="36"/>
              <w:rFonts w:hint="eastAsia"/>
              <w:color w:val="auto"/>
            </w:rPr>
            <w:t>二、优化财税体制机制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_Toc225513295 \h</w:instrText>
          </w:r>
          <w:r>
            <w:rPr>
              <w:rFonts w:hint="eastAsia"/>
              <w:color w:val="auto"/>
            </w:rPr>
            <w:instrText xml:space="preserve"> </w:instrText>
          </w:r>
          <w:r>
            <w:rPr>
              <w:rFonts w:hint="eastAsia"/>
              <w:color w:val="auto"/>
            </w:rPr>
            <w:fldChar w:fldCharType="separate"/>
          </w:r>
          <w:r>
            <w:rPr>
              <w:color w:val="auto"/>
            </w:rPr>
            <w:t>73</w:t>
          </w:r>
          <w:r>
            <w:rPr>
              <w:rFonts w:hint="eastAsia"/>
              <w:color w:val="auto"/>
            </w:rPr>
            <w:fldChar w:fldCharType="end"/>
          </w:r>
          <w:r>
            <w:rPr>
              <w:rFonts w:hint="eastAsia"/>
              <w:color w:val="auto"/>
            </w:rPr>
            <w:fldChar w:fldCharType="end"/>
          </w:r>
        </w:p>
        <w:p w14:paraId="56B3A391">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"_Toc225513296" </w:instrText>
          </w:r>
          <w:r>
            <w:rPr>
              <w:color w:val="auto"/>
            </w:rPr>
            <w:fldChar w:fldCharType="separate"/>
          </w:r>
          <w:r>
            <w:rPr>
              <w:rStyle w:val="36"/>
              <w:rFonts w:hint="eastAsia"/>
              <w:color w:val="auto"/>
            </w:rPr>
            <w:t>三、推动国资国企改革</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_Toc225513296 \h</w:instrText>
          </w:r>
          <w:r>
            <w:rPr>
              <w:rFonts w:hint="eastAsia"/>
              <w:color w:val="auto"/>
            </w:rPr>
            <w:instrText xml:space="preserve"> </w:instrText>
          </w:r>
          <w:r>
            <w:rPr>
              <w:rFonts w:hint="eastAsia"/>
              <w:color w:val="auto"/>
            </w:rPr>
            <w:fldChar w:fldCharType="separate"/>
          </w:r>
          <w:r>
            <w:rPr>
              <w:color w:val="auto"/>
            </w:rPr>
            <w:t>74</w:t>
          </w:r>
          <w:r>
            <w:rPr>
              <w:rFonts w:hint="eastAsia"/>
              <w:color w:val="auto"/>
            </w:rPr>
            <w:fldChar w:fldCharType="end"/>
          </w:r>
          <w:r>
            <w:rPr>
              <w:rFonts w:hint="eastAsia"/>
              <w:color w:val="auto"/>
            </w:rPr>
            <w:fldChar w:fldCharType="end"/>
          </w:r>
        </w:p>
        <w:p w14:paraId="4496C3DF">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"_Toc225513297" </w:instrText>
          </w:r>
          <w:r>
            <w:rPr>
              <w:color w:val="auto"/>
            </w:rPr>
            <w:fldChar w:fldCharType="separate"/>
          </w:r>
          <w:r>
            <w:rPr>
              <w:rStyle w:val="36"/>
              <w:rFonts w:hint="eastAsia"/>
              <w:color w:val="auto"/>
            </w:rPr>
            <w:t>第二章 持续优化营商环境</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_Toc225513297 \h</w:instrText>
          </w:r>
          <w:r>
            <w:rPr>
              <w:rFonts w:hint="eastAsia"/>
              <w:color w:val="auto"/>
            </w:rPr>
            <w:instrText xml:space="preserve"> </w:instrText>
          </w:r>
          <w:r>
            <w:rPr>
              <w:rFonts w:hint="eastAsia"/>
              <w:color w:val="auto"/>
            </w:rPr>
            <w:fldChar w:fldCharType="separate"/>
          </w:r>
          <w:r>
            <w:rPr>
              <w:color w:val="auto"/>
            </w:rPr>
            <w:t>74</w:t>
          </w:r>
          <w:r>
            <w:rPr>
              <w:rFonts w:hint="eastAsia"/>
              <w:color w:val="auto"/>
            </w:rPr>
            <w:fldChar w:fldCharType="end"/>
          </w:r>
          <w:r>
            <w:rPr>
              <w:rFonts w:hint="eastAsia"/>
              <w:color w:val="auto"/>
            </w:rPr>
            <w:fldChar w:fldCharType="end"/>
          </w:r>
        </w:p>
        <w:p w14:paraId="66E525D0">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"_Toc225513298" </w:instrText>
          </w:r>
          <w:r>
            <w:rPr>
              <w:color w:val="auto"/>
            </w:rPr>
            <w:fldChar w:fldCharType="separate"/>
          </w:r>
          <w:r>
            <w:rPr>
              <w:rStyle w:val="36"/>
              <w:rFonts w:hint="eastAsia"/>
              <w:color w:val="auto"/>
            </w:rPr>
            <w:t>一、打造高效、便捷、公平的营商环境</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_Toc225513298 \h</w:instrText>
          </w:r>
          <w:r>
            <w:rPr>
              <w:rFonts w:hint="eastAsia"/>
              <w:color w:val="auto"/>
            </w:rPr>
            <w:instrText xml:space="preserve"> </w:instrText>
          </w:r>
          <w:r>
            <w:rPr>
              <w:rFonts w:hint="eastAsia"/>
              <w:color w:val="auto"/>
            </w:rPr>
            <w:fldChar w:fldCharType="separate"/>
          </w:r>
          <w:r>
            <w:rPr>
              <w:color w:val="auto"/>
            </w:rPr>
            <w:t>74</w:t>
          </w:r>
          <w:r>
            <w:rPr>
              <w:rFonts w:hint="eastAsia"/>
              <w:color w:val="auto"/>
            </w:rPr>
            <w:fldChar w:fldCharType="end"/>
          </w:r>
          <w:r>
            <w:rPr>
              <w:rFonts w:hint="eastAsia"/>
              <w:color w:val="auto"/>
            </w:rPr>
            <w:fldChar w:fldCharType="end"/>
          </w:r>
        </w:p>
        <w:p w14:paraId="7FE89AAA">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"_Toc225513299" </w:instrText>
          </w:r>
          <w:r>
            <w:rPr>
              <w:color w:val="auto"/>
            </w:rPr>
            <w:fldChar w:fldCharType="separate"/>
          </w:r>
          <w:r>
            <w:rPr>
              <w:rStyle w:val="36"/>
              <w:rFonts w:hint="eastAsia"/>
              <w:color w:val="auto"/>
            </w:rPr>
            <w:t>二、健全支持民营经济发展体制机制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_Toc225513299 \h</w:instrText>
          </w:r>
          <w:r>
            <w:rPr>
              <w:rFonts w:hint="eastAsia"/>
              <w:color w:val="auto"/>
            </w:rPr>
            <w:instrText xml:space="preserve"> </w:instrText>
          </w:r>
          <w:r>
            <w:rPr>
              <w:rFonts w:hint="eastAsia"/>
              <w:color w:val="auto"/>
            </w:rPr>
            <w:fldChar w:fldCharType="separate"/>
          </w:r>
          <w:r>
            <w:rPr>
              <w:color w:val="auto"/>
            </w:rPr>
            <w:t>75</w:t>
          </w:r>
          <w:r>
            <w:rPr>
              <w:rFonts w:hint="eastAsia"/>
              <w:color w:val="auto"/>
            </w:rPr>
            <w:fldChar w:fldCharType="end"/>
          </w:r>
          <w:r>
            <w:rPr>
              <w:rFonts w:hint="eastAsia"/>
              <w:color w:val="auto"/>
            </w:rPr>
            <w:fldChar w:fldCharType="end"/>
          </w:r>
        </w:p>
        <w:p w14:paraId="19826080">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"_Toc225513300" </w:instrText>
          </w:r>
          <w:r>
            <w:rPr>
              <w:color w:val="auto"/>
            </w:rPr>
            <w:fldChar w:fldCharType="separate"/>
          </w:r>
          <w:r>
            <w:rPr>
              <w:rStyle w:val="36"/>
              <w:rFonts w:hint="eastAsia"/>
              <w:color w:val="auto"/>
            </w:rPr>
            <w:t>第三章 拓展高水平对外开放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_Toc225513300 \h</w:instrText>
          </w:r>
          <w:r>
            <w:rPr>
              <w:rFonts w:hint="eastAsia"/>
              <w:color w:val="auto"/>
            </w:rPr>
            <w:instrText xml:space="preserve"> </w:instrText>
          </w:r>
          <w:r>
            <w:rPr>
              <w:rFonts w:hint="eastAsia"/>
              <w:color w:val="auto"/>
            </w:rPr>
            <w:fldChar w:fldCharType="separate"/>
          </w:r>
          <w:r>
            <w:rPr>
              <w:color w:val="auto"/>
            </w:rPr>
            <w:t>75</w:t>
          </w:r>
          <w:r>
            <w:rPr>
              <w:rFonts w:hint="eastAsia"/>
              <w:color w:val="auto"/>
            </w:rPr>
            <w:fldChar w:fldCharType="end"/>
          </w:r>
          <w:r>
            <w:rPr>
              <w:rFonts w:hint="eastAsia"/>
              <w:color w:val="auto"/>
            </w:rPr>
            <w:fldChar w:fldCharType="end"/>
          </w:r>
        </w:p>
        <w:p w14:paraId="39BCC1FA">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"_Toc225513301" </w:instrText>
          </w:r>
          <w:r>
            <w:rPr>
              <w:color w:val="auto"/>
            </w:rPr>
            <w:fldChar w:fldCharType="separate"/>
          </w:r>
          <w:r>
            <w:rPr>
              <w:rStyle w:val="36"/>
              <w:rFonts w:hint="eastAsia"/>
              <w:color w:val="auto"/>
            </w:rPr>
            <w:t>一、服务和融入京津冀协同发展</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_Toc225513301 \h</w:instrText>
          </w:r>
          <w:r>
            <w:rPr>
              <w:rFonts w:hint="eastAsia"/>
              <w:color w:val="auto"/>
            </w:rPr>
            <w:instrText xml:space="preserve"> </w:instrText>
          </w:r>
          <w:r>
            <w:rPr>
              <w:rFonts w:hint="eastAsia"/>
              <w:color w:val="auto"/>
            </w:rPr>
            <w:fldChar w:fldCharType="separate"/>
          </w:r>
          <w:r>
            <w:rPr>
              <w:color w:val="auto"/>
            </w:rPr>
            <w:t>75</w:t>
          </w:r>
          <w:r>
            <w:rPr>
              <w:rFonts w:hint="eastAsia"/>
              <w:color w:val="auto"/>
            </w:rPr>
            <w:fldChar w:fldCharType="end"/>
          </w:r>
          <w:r>
            <w:rPr>
              <w:rFonts w:hint="eastAsia"/>
              <w:color w:val="auto"/>
            </w:rPr>
            <w:fldChar w:fldCharType="end"/>
          </w:r>
        </w:p>
        <w:p w14:paraId="196A657F">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"_Toc225513302" </w:instrText>
          </w:r>
          <w:r>
            <w:rPr>
              <w:color w:val="auto"/>
            </w:rPr>
            <w:fldChar w:fldCharType="separate"/>
          </w:r>
          <w:r>
            <w:rPr>
              <w:rStyle w:val="36"/>
              <w:rFonts w:hint="eastAsia"/>
              <w:color w:val="auto"/>
            </w:rPr>
            <w:t>二、联动其他区域发展</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_Toc225513302 \h</w:instrText>
          </w:r>
          <w:r>
            <w:rPr>
              <w:rFonts w:hint="eastAsia"/>
              <w:color w:val="auto"/>
            </w:rPr>
            <w:instrText xml:space="preserve"> </w:instrText>
          </w:r>
          <w:r>
            <w:rPr>
              <w:rFonts w:hint="eastAsia"/>
              <w:color w:val="auto"/>
            </w:rPr>
            <w:fldChar w:fldCharType="separate"/>
          </w:r>
          <w:r>
            <w:rPr>
              <w:color w:val="auto"/>
            </w:rPr>
            <w:t>76</w:t>
          </w:r>
          <w:r>
            <w:rPr>
              <w:rFonts w:hint="eastAsia"/>
              <w:color w:val="auto"/>
            </w:rPr>
            <w:fldChar w:fldCharType="end"/>
          </w:r>
          <w:r>
            <w:rPr>
              <w:rFonts w:hint="eastAsia"/>
              <w:color w:val="auto"/>
            </w:rPr>
            <w:fldChar w:fldCharType="end"/>
          </w:r>
        </w:p>
        <w:p w14:paraId="21C46C2A">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"_Toc225513303" </w:instrText>
          </w:r>
          <w:r>
            <w:rPr>
              <w:color w:val="auto"/>
            </w:rPr>
            <w:fldChar w:fldCharType="separate"/>
          </w:r>
          <w:r>
            <w:rPr>
              <w:rStyle w:val="36"/>
              <w:rFonts w:hint="eastAsia"/>
              <w:color w:val="auto"/>
            </w:rPr>
            <w:t>三、支持拓展国外市场</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_Toc225513303 \h</w:instrText>
          </w:r>
          <w:r>
            <w:rPr>
              <w:rFonts w:hint="eastAsia"/>
              <w:color w:val="auto"/>
            </w:rPr>
            <w:instrText xml:space="preserve"> </w:instrText>
          </w:r>
          <w:r>
            <w:rPr>
              <w:rFonts w:hint="eastAsia"/>
              <w:color w:val="auto"/>
            </w:rPr>
            <w:fldChar w:fldCharType="separate"/>
          </w:r>
          <w:r>
            <w:rPr>
              <w:color w:val="auto"/>
            </w:rPr>
            <w:t>76</w:t>
          </w:r>
          <w:r>
            <w:rPr>
              <w:rFonts w:hint="eastAsia"/>
              <w:color w:val="auto"/>
            </w:rPr>
            <w:fldChar w:fldCharType="end"/>
          </w:r>
          <w:r>
            <w:rPr>
              <w:rFonts w:hint="eastAsia"/>
              <w:color w:val="auto"/>
            </w:rPr>
            <w:fldChar w:fldCharType="end"/>
          </w:r>
        </w:p>
        <w:p w14:paraId="0776557D">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"_Toc225513304" </w:instrText>
          </w:r>
          <w:r>
            <w:rPr>
              <w:color w:val="auto"/>
            </w:rPr>
            <w:fldChar w:fldCharType="separate"/>
          </w:r>
          <w:r>
            <w:rPr>
              <w:rStyle w:val="36"/>
              <w:rFonts w:hint="eastAsia"/>
              <w:color w:val="auto"/>
            </w:rPr>
            <w:t>第九篇 坚持以人民为中心，增进百姓福祉新成效</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_Toc225513304 \h</w:instrText>
          </w:r>
          <w:r>
            <w:rPr>
              <w:rFonts w:hint="eastAsia"/>
              <w:color w:val="auto"/>
            </w:rPr>
            <w:instrText xml:space="preserve"> </w:instrText>
          </w:r>
          <w:r>
            <w:rPr>
              <w:rFonts w:hint="eastAsia"/>
              <w:color w:val="auto"/>
            </w:rPr>
            <w:fldChar w:fldCharType="separate"/>
          </w:r>
          <w:r>
            <w:rPr>
              <w:color w:val="auto"/>
            </w:rPr>
            <w:t>77</w:t>
          </w:r>
          <w:r>
            <w:rPr>
              <w:rFonts w:hint="eastAsia"/>
              <w:color w:val="auto"/>
            </w:rPr>
            <w:fldChar w:fldCharType="end"/>
          </w:r>
          <w:r>
            <w:rPr>
              <w:rFonts w:hint="eastAsia"/>
              <w:color w:val="auto"/>
            </w:rPr>
            <w:fldChar w:fldCharType="end"/>
          </w:r>
        </w:p>
        <w:p w14:paraId="61BA41CC">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"_Toc225513305" </w:instrText>
          </w:r>
          <w:r>
            <w:rPr>
              <w:color w:val="auto"/>
            </w:rPr>
            <w:fldChar w:fldCharType="separate"/>
          </w:r>
          <w:r>
            <w:rPr>
              <w:rStyle w:val="36"/>
              <w:rFonts w:hint="eastAsia"/>
              <w:color w:val="auto"/>
            </w:rPr>
            <w:t>第一章 打造优质教育体系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_Toc225513305 \h</w:instrText>
          </w:r>
          <w:r>
            <w:rPr>
              <w:rFonts w:hint="eastAsia"/>
              <w:color w:val="auto"/>
            </w:rPr>
            <w:instrText xml:space="preserve"> </w:instrText>
          </w:r>
          <w:r>
            <w:rPr>
              <w:rFonts w:hint="eastAsia"/>
              <w:color w:val="auto"/>
            </w:rPr>
            <w:fldChar w:fldCharType="separate"/>
          </w:r>
          <w:r>
            <w:rPr>
              <w:color w:val="auto"/>
            </w:rPr>
            <w:t>77</w:t>
          </w:r>
          <w:r>
            <w:rPr>
              <w:rFonts w:hint="eastAsia"/>
              <w:color w:val="auto"/>
            </w:rPr>
            <w:fldChar w:fldCharType="end"/>
          </w:r>
          <w:r>
            <w:rPr>
              <w:rFonts w:hint="eastAsia"/>
              <w:color w:val="auto"/>
            </w:rPr>
            <w:fldChar w:fldCharType="end"/>
          </w:r>
        </w:p>
        <w:p w14:paraId="417B2173">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"_Toc225513306" </w:instrText>
          </w:r>
          <w:r>
            <w:rPr>
              <w:color w:val="auto"/>
            </w:rPr>
            <w:fldChar w:fldCharType="separate"/>
          </w:r>
          <w:r>
            <w:rPr>
              <w:rStyle w:val="36"/>
              <w:rFonts w:hint="eastAsia" w:ascii="仿宋_GB2312"/>
              <w:color w:val="auto"/>
            </w:rPr>
            <w:t>一、科学规划基础教育资源，优化城乡空间布局</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_Toc225513306 \h</w:instrText>
          </w:r>
          <w:r>
            <w:rPr>
              <w:rFonts w:hint="eastAsia"/>
              <w:color w:val="auto"/>
            </w:rPr>
            <w:instrText xml:space="preserve"> </w:instrText>
          </w:r>
          <w:r>
            <w:rPr>
              <w:rFonts w:hint="eastAsia"/>
              <w:color w:val="auto"/>
            </w:rPr>
            <w:fldChar w:fldCharType="separate"/>
          </w:r>
          <w:r>
            <w:rPr>
              <w:color w:val="auto"/>
            </w:rPr>
            <w:t>77</w:t>
          </w:r>
          <w:r>
            <w:rPr>
              <w:rFonts w:hint="eastAsia"/>
              <w:color w:val="auto"/>
            </w:rPr>
            <w:fldChar w:fldCharType="end"/>
          </w:r>
          <w:r>
            <w:rPr>
              <w:rFonts w:hint="eastAsia"/>
              <w:color w:val="auto"/>
            </w:rPr>
            <w:fldChar w:fldCharType="end"/>
          </w:r>
        </w:p>
        <w:p w14:paraId="2BBF19A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"_Toc225513307" </w:instrText>
          </w:r>
          <w:r>
            <w:rPr>
              <w:color w:val="auto"/>
            </w:rPr>
            <w:fldChar w:fldCharType="separate"/>
          </w:r>
          <w:r>
            <w:rPr>
              <w:rStyle w:val="36"/>
              <w:rFonts w:hint="eastAsia" w:ascii="仿宋_GB2312"/>
              <w:color w:val="auto"/>
            </w:rPr>
            <w:t>二、深化教育教学改革，全面提升育人质量</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_Toc225513307 \h</w:instrText>
          </w:r>
          <w:r>
            <w:rPr>
              <w:rFonts w:hint="eastAsia"/>
              <w:color w:val="auto"/>
            </w:rPr>
            <w:instrText xml:space="preserve"> </w:instrText>
          </w:r>
          <w:r>
            <w:rPr>
              <w:rFonts w:hint="eastAsia"/>
              <w:color w:val="auto"/>
            </w:rPr>
            <w:fldChar w:fldCharType="separate"/>
          </w:r>
          <w:r>
            <w:rPr>
              <w:color w:val="auto"/>
            </w:rPr>
            <w:t>77</w:t>
          </w:r>
          <w:r>
            <w:rPr>
              <w:rFonts w:hint="eastAsia"/>
              <w:color w:val="auto"/>
            </w:rPr>
            <w:fldChar w:fldCharType="end"/>
          </w:r>
          <w:r>
            <w:rPr>
              <w:rFonts w:hint="eastAsia"/>
              <w:color w:val="auto"/>
            </w:rPr>
            <w:fldChar w:fldCharType="end"/>
          </w:r>
        </w:p>
        <w:p w14:paraId="5D483CEA">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"_Toc225513308" </w:instrText>
          </w:r>
          <w:r>
            <w:rPr>
              <w:color w:val="auto"/>
            </w:rPr>
            <w:fldChar w:fldCharType="separate"/>
          </w:r>
          <w:r>
            <w:rPr>
              <w:rStyle w:val="36"/>
              <w:rFonts w:hint="eastAsia" w:ascii="仿宋_GB2312"/>
              <w:color w:val="auto"/>
            </w:rPr>
            <w:t>三、强化师资队伍建设，激发教育发展活力</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_Toc225513308 \h</w:instrText>
          </w:r>
          <w:r>
            <w:rPr>
              <w:rFonts w:hint="eastAsia"/>
              <w:color w:val="auto"/>
            </w:rPr>
            <w:instrText xml:space="preserve"> </w:instrText>
          </w:r>
          <w:r>
            <w:rPr>
              <w:rFonts w:hint="eastAsia"/>
              <w:color w:val="auto"/>
            </w:rPr>
            <w:fldChar w:fldCharType="separate"/>
          </w:r>
          <w:r>
            <w:rPr>
              <w:color w:val="auto"/>
            </w:rPr>
            <w:t>78</w:t>
          </w:r>
          <w:r>
            <w:rPr>
              <w:rFonts w:hint="eastAsia"/>
              <w:color w:val="auto"/>
            </w:rPr>
            <w:fldChar w:fldCharType="end"/>
          </w:r>
          <w:r>
            <w:rPr>
              <w:rFonts w:hint="eastAsia"/>
              <w:color w:val="auto"/>
            </w:rPr>
            <w:fldChar w:fldCharType="end"/>
          </w:r>
        </w:p>
        <w:p w14:paraId="3755B2A7">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"_Toc225513309" </w:instrText>
          </w:r>
          <w:r>
            <w:rPr>
              <w:color w:val="auto"/>
            </w:rPr>
            <w:fldChar w:fldCharType="separate"/>
          </w:r>
          <w:r>
            <w:rPr>
              <w:rStyle w:val="36"/>
              <w:rFonts w:hint="eastAsia" w:ascii="仿宋_GB2312"/>
              <w:color w:val="auto"/>
            </w:rPr>
            <w:t>四、推动数字化转型与开放合作，增强教育发展动能</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_Toc225513309 \h</w:instrText>
          </w:r>
          <w:r>
            <w:rPr>
              <w:rFonts w:hint="eastAsia"/>
              <w:color w:val="auto"/>
            </w:rPr>
            <w:instrText xml:space="preserve"> </w:instrText>
          </w:r>
          <w:r>
            <w:rPr>
              <w:rFonts w:hint="eastAsia"/>
              <w:color w:val="auto"/>
            </w:rPr>
            <w:fldChar w:fldCharType="separate"/>
          </w:r>
          <w:r>
            <w:rPr>
              <w:color w:val="auto"/>
            </w:rPr>
            <w:t>78</w:t>
          </w:r>
          <w:r>
            <w:rPr>
              <w:rFonts w:hint="eastAsia"/>
              <w:color w:val="auto"/>
            </w:rPr>
            <w:fldChar w:fldCharType="end"/>
          </w:r>
          <w:r>
            <w:rPr>
              <w:rFonts w:hint="eastAsia"/>
              <w:color w:val="auto"/>
            </w:rPr>
            <w:fldChar w:fldCharType="end"/>
          </w:r>
        </w:p>
        <w:p w14:paraId="6DB37BBE">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"_Toc225513310" </w:instrText>
          </w:r>
          <w:r>
            <w:rPr>
              <w:color w:val="auto"/>
            </w:rPr>
            <w:fldChar w:fldCharType="separate"/>
          </w:r>
          <w:r>
            <w:rPr>
              <w:rStyle w:val="36"/>
              <w:rFonts w:hint="eastAsia"/>
              <w:color w:val="auto"/>
            </w:rPr>
            <w:t>第二章 提升医疗健康水平</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_Toc225513310 \h</w:instrText>
          </w:r>
          <w:r>
            <w:rPr>
              <w:rFonts w:hint="eastAsia"/>
              <w:color w:val="auto"/>
            </w:rPr>
            <w:instrText xml:space="preserve"> </w:instrText>
          </w:r>
          <w:r>
            <w:rPr>
              <w:rFonts w:hint="eastAsia"/>
              <w:color w:val="auto"/>
            </w:rPr>
            <w:fldChar w:fldCharType="separate"/>
          </w:r>
          <w:r>
            <w:rPr>
              <w:color w:val="auto"/>
            </w:rPr>
            <w:t>79</w:t>
          </w:r>
          <w:r>
            <w:rPr>
              <w:rFonts w:hint="eastAsia"/>
              <w:color w:val="auto"/>
            </w:rPr>
            <w:fldChar w:fldCharType="end"/>
          </w:r>
          <w:r>
            <w:rPr>
              <w:rFonts w:hint="eastAsia"/>
              <w:color w:val="auto"/>
            </w:rPr>
            <w:fldChar w:fldCharType="end"/>
          </w:r>
        </w:p>
        <w:p w14:paraId="199F2861">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"_Toc225513311" </w:instrText>
          </w:r>
          <w:r>
            <w:rPr>
              <w:color w:val="auto"/>
            </w:rPr>
            <w:fldChar w:fldCharType="separate"/>
          </w:r>
          <w:r>
            <w:rPr>
              <w:rStyle w:val="36"/>
              <w:rFonts w:hint="eastAsia"/>
              <w:color w:val="auto"/>
            </w:rPr>
            <w:t>一、深化健康平山建设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_Toc225513311 \h</w:instrText>
          </w:r>
          <w:r>
            <w:rPr>
              <w:rFonts w:hint="eastAsia"/>
              <w:color w:val="auto"/>
            </w:rPr>
            <w:instrText xml:space="preserve"> </w:instrText>
          </w:r>
          <w:r>
            <w:rPr>
              <w:rFonts w:hint="eastAsia"/>
              <w:color w:val="auto"/>
            </w:rPr>
            <w:fldChar w:fldCharType="separate"/>
          </w:r>
          <w:r>
            <w:rPr>
              <w:color w:val="auto"/>
            </w:rPr>
            <w:t>79</w:t>
          </w:r>
          <w:r>
            <w:rPr>
              <w:rFonts w:hint="eastAsia"/>
              <w:color w:val="auto"/>
            </w:rPr>
            <w:fldChar w:fldCharType="end"/>
          </w:r>
          <w:r>
            <w:rPr>
              <w:rFonts w:hint="eastAsia"/>
              <w:color w:val="auto"/>
            </w:rPr>
            <w:fldChar w:fldCharType="end"/>
          </w:r>
        </w:p>
        <w:p w14:paraId="09DCCA90">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"_Toc225513312" </w:instrText>
          </w:r>
          <w:r>
            <w:rPr>
              <w:color w:val="auto"/>
            </w:rPr>
            <w:fldChar w:fldCharType="separate"/>
          </w:r>
          <w:r>
            <w:rPr>
              <w:rStyle w:val="36"/>
              <w:rFonts w:hint="eastAsia"/>
              <w:color w:val="auto"/>
            </w:rPr>
            <w:t>二、完善医疗基础设施</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_Toc225513312 \h</w:instrText>
          </w:r>
          <w:r>
            <w:rPr>
              <w:rFonts w:hint="eastAsia"/>
              <w:color w:val="auto"/>
            </w:rPr>
            <w:instrText xml:space="preserve"> </w:instrText>
          </w:r>
          <w:r>
            <w:rPr>
              <w:rFonts w:hint="eastAsia"/>
              <w:color w:val="auto"/>
            </w:rPr>
            <w:fldChar w:fldCharType="separate"/>
          </w:r>
          <w:r>
            <w:rPr>
              <w:color w:val="auto"/>
            </w:rPr>
            <w:t>79</w:t>
          </w:r>
          <w:r>
            <w:rPr>
              <w:rFonts w:hint="eastAsia"/>
              <w:color w:val="auto"/>
            </w:rPr>
            <w:fldChar w:fldCharType="end"/>
          </w:r>
          <w:r>
            <w:rPr>
              <w:rFonts w:hint="eastAsia"/>
              <w:color w:val="auto"/>
            </w:rPr>
            <w:fldChar w:fldCharType="end"/>
          </w:r>
        </w:p>
        <w:p w14:paraId="7653A810">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"_Toc225513313" </w:instrText>
          </w:r>
          <w:r>
            <w:rPr>
              <w:color w:val="auto"/>
            </w:rPr>
            <w:fldChar w:fldCharType="separate"/>
          </w:r>
          <w:r>
            <w:rPr>
              <w:rStyle w:val="36"/>
              <w:rFonts w:hint="eastAsia"/>
              <w:color w:val="auto"/>
            </w:rPr>
            <w:t>三、强化重点疾病防治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_Toc225513313 \h</w:instrText>
          </w:r>
          <w:r>
            <w:rPr>
              <w:rFonts w:hint="eastAsia"/>
              <w:color w:val="auto"/>
            </w:rPr>
            <w:instrText xml:space="preserve"> </w:instrText>
          </w:r>
          <w:r>
            <w:rPr>
              <w:rFonts w:hint="eastAsia"/>
              <w:color w:val="auto"/>
            </w:rPr>
            <w:fldChar w:fldCharType="separate"/>
          </w:r>
          <w:r>
            <w:rPr>
              <w:color w:val="auto"/>
            </w:rPr>
            <w:t>80</w:t>
          </w:r>
          <w:r>
            <w:rPr>
              <w:rFonts w:hint="eastAsia"/>
              <w:color w:val="auto"/>
            </w:rPr>
            <w:fldChar w:fldCharType="end"/>
          </w:r>
          <w:r>
            <w:rPr>
              <w:rFonts w:hint="eastAsia"/>
              <w:color w:val="auto"/>
            </w:rPr>
            <w:fldChar w:fldCharType="end"/>
          </w:r>
        </w:p>
        <w:p w14:paraId="02635F0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"_Toc225513314" </w:instrText>
          </w:r>
          <w:r>
            <w:rPr>
              <w:color w:val="auto"/>
            </w:rPr>
            <w:fldChar w:fldCharType="separate"/>
          </w:r>
          <w:r>
            <w:rPr>
              <w:rStyle w:val="36"/>
              <w:rFonts w:hint="eastAsia"/>
              <w:color w:val="auto"/>
            </w:rPr>
            <w:t>四、深化医疗卫生改革</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_Toc225513314 \h</w:instrText>
          </w:r>
          <w:r>
            <w:rPr>
              <w:rFonts w:hint="eastAsia"/>
              <w:color w:val="auto"/>
            </w:rPr>
            <w:instrText xml:space="preserve"> </w:instrText>
          </w:r>
          <w:r>
            <w:rPr>
              <w:rFonts w:hint="eastAsia"/>
              <w:color w:val="auto"/>
            </w:rPr>
            <w:fldChar w:fldCharType="separate"/>
          </w:r>
          <w:r>
            <w:rPr>
              <w:color w:val="auto"/>
            </w:rPr>
            <w:t>80</w:t>
          </w:r>
          <w:r>
            <w:rPr>
              <w:rFonts w:hint="eastAsia"/>
              <w:color w:val="auto"/>
            </w:rPr>
            <w:fldChar w:fldCharType="end"/>
          </w:r>
          <w:r>
            <w:rPr>
              <w:rFonts w:hint="eastAsia"/>
              <w:color w:val="auto"/>
            </w:rPr>
            <w:fldChar w:fldCharType="end"/>
          </w:r>
        </w:p>
        <w:p w14:paraId="39417B11">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"_Toc225513315" </w:instrText>
          </w:r>
          <w:r>
            <w:rPr>
              <w:color w:val="auto"/>
            </w:rPr>
            <w:fldChar w:fldCharType="separate"/>
          </w:r>
          <w:r>
            <w:rPr>
              <w:rStyle w:val="36"/>
              <w:rFonts w:hint="eastAsia"/>
              <w:color w:val="auto"/>
            </w:rPr>
            <w:t>第三章 完善就业社保体系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_Toc225513315 \h</w:instrText>
          </w:r>
          <w:r>
            <w:rPr>
              <w:rFonts w:hint="eastAsia"/>
              <w:color w:val="auto"/>
            </w:rPr>
            <w:instrText xml:space="preserve"> </w:instrText>
          </w:r>
          <w:r>
            <w:rPr>
              <w:rFonts w:hint="eastAsia"/>
              <w:color w:val="auto"/>
            </w:rPr>
            <w:fldChar w:fldCharType="separate"/>
          </w:r>
          <w:r>
            <w:rPr>
              <w:color w:val="auto"/>
            </w:rPr>
            <w:t>80</w:t>
          </w:r>
          <w:r>
            <w:rPr>
              <w:rFonts w:hint="eastAsia"/>
              <w:color w:val="auto"/>
            </w:rPr>
            <w:fldChar w:fldCharType="end"/>
          </w:r>
          <w:r>
            <w:rPr>
              <w:rFonts w:hint="eastAsia"/>
              <w:color w:val="auto"/>
            </w:rPr>
            <w:fldChar w:fldCharType="end"/>
          </w:r>
        </w:p>
        <w:p w14:paraId="201B07C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"_Toc225513316" </w:instrText>
          </w:r>
          <w:r>
            <w:rPr>
              <w:color w:val="auto"/>
            </w:rPr>
            <w:fldChar w:fldCharType="separate"/>
          </w:r>
          <w:r>
            <w:rPr>
              <w:rStyle w:val="36"/>
              <w:rFonts w:hint="eastAsia"/>
              <w:color w:val="auto"/>
            </w:rPr>
            <w:t>一、促进就业创业增收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_Toc225513316 \h</w:instrText>
          </w:r>
          <w:r>
            <w:rPr>
              <w:rFonts w:hint="eastAsia"/>
              <w:color w:val="auto"/>
            </w:rPr>
            <w:instrText xml:space="preserve"> </w:instrText>
          </w:r>
          <w:r>
            <w:rPr>
              <w:rFonts w:hint="eastAsia"/>
              <w:color w:val="auto"/>
            </w:rPr>
            <w:fldChar w:fldCharType="separate"/>
          </w:r>
          <w:r>
            <w:rPr>
              <w:color w:val="auto"/>
            </w:rPr>
            <w:t>80</w:t>
          </w:r>
          <w:r>
            <w:rPr>
              <w:rFonts w:hint="eastAsia"/>
              <w:color w:val="auto"/>
            </w:rPr>
            <w:fldChar w:fldCharType="end"/>
          </w:r>
          <w:r>
            <w:rPr>
              <w:rFonts w:hint="eastAsia"/>
              <w:color w:val="auto"/>
            </w:rPr>
            <w:fldChar w:fldCharType="end"/>
          </w:r>
        </w:p>
        <w:p w14:paraId="48055A05">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"_Toc225513317" </w:instrText>
          </w:r>
          <w:r>
            <w:rPr>
              <w:color w:val="auto"/>
            </w:rPr>
            <w:fldChar w:fldCharType="separate"/>
          </w:r>
          <w:r>
            <w:rPr>
              <w:rStyle w:val="36"/>
              <w:rFonts w:hint="eastAsia"/>
              <w:color w:val="auto"/>
            </w:rPr>
            <w:t>二、健全社会保障体系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_Toc225513317 \h</w:instrText>
          </w:r>
          <w:r>
            <w:rPr>
              <w:rFonts w:hint="eastAsia"/>
              <w:color w:val="auto"/>
            </w:rPr>
            <w:instrText xml:space="preserve"> </w:instrText>
          </w:r>
          <w:r>
            <w:rPr>
              <w:rFonts w:hint="eastAsia"/>
              <w:color w:val="auto"/>
            </w:rPr>
            <w:fldChar w:fldCharType="separate"/>
          </w:r>
          <w:r>
            <w:rPr>
              <w:color w:val="auto"/>
            </w:rPr>
            <w:t>81</w:t>
          </w:r>
          <w:r>
            <w:rPr>
              <w:rFonts w:hint="eastAsia"/>
              <w:color w:val="auto"/>
            </w:rPr>
            <w:fldChar w:fldCharType="end"/>
          </w:r>
          <w:r>
            <w:rPr>
              <w:rFonts w:hint="eastAsia"/>
              <w:color w:val="auto"/>
            </w:rPr>
            <w:fldChar w:fldCharType="end"/>
          </w:r>
        </w:p>
        <w:p w14:paraId="105B42AB">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"_Toc225513318" </w:instrText>
          </w:r>
          <w:r>
            <w:rPr>
              <w:color w:val="auto"/>
            </w:rPr>
            <w:fldChar w:fldCharType="separate"/>
          </w:r>
          <w:r>
            <w:rPr>
              <w:rStyle w:val="36"/>
              <w:rFonts w:hint="eastAsia"/>
              <w:color w:val="auto"/>
            </w:rPr>
            <w:t>三、优化殡葬服务供给</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_Toc225513318 \h</w:instrText>
          </w:r>
          <w:r>
            <w:rPr>
              <w:rFonts w:hint="eastAsia"/>
              <w:color w:val="auto"/>
            </w:rPr>
            <w:instrText xml:space="preserve"> </w:instrText>
          </w:r>
          <w:r>
            <w:rPr>
              <w:rFonts w:hint="eastAsia"/>
              <w:color w:val="auto"/>
            </w:rPr>
            <w:fldChar w:fldCharType="separate"/>
          </w:r>
          <w:r>
            <w:rPr>
              <w:color w:val="auto"/>
            </w:rPr>
            <w:t>81</w:t>
          </w:r>
          <w:r>
            <w:rPr>
              <w:rFonts w:hint="eastAsia"/>
              <w:color w:val="auto"/>
            </w:rPr>
            <w:fldChar w:fldCharType="end"/>
          </w:r>
          <w:r>
            <w:rPr>
              <w:rFonts w:hint="eastAsia"/>
              <w:color w:val="auto"/>
            </w:rPr>
            <w:fldChar w:fldCharType="end"/>
          </w:r>
        </w:p>
        <w:p w14:paraId="18194D3A">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"_Toc225513319" </w:instrText>
          </w:r>
          <w:r>
            <w:rPr>
              <w:color w:val="auto"/>
            </w:rPr>
            <w:fldChar w:fldCharType="separate"/>
          </w:r>
          <w:r>
            <w:rPr>
              <w:rStyle w:val="36"/>
              <w:rFonts w:hint="eastAsia"/>
              <w:color w:val="auto"/>
            </w:rPr>
            <w:t>第四章 推动体育强县建设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_Toc225513319 \h</w:instrText>
          </w:r>
          <w:r>
            <w:rPr>
              <w:rFonts w:hint="eastAsia"/>
              <w:color w:val="auto"/>
            </w:rPr>
            <w:instrText xml:space="preserve"> </w:instrText>
          </w:r>
          <w:r>
            <w:rPr>
              <w:rFonts w:hint="eastAsia"/>
              <w:color w:val="auto"/>
            </w:rPr>
            <w:fldChar w:fldCharType="separate"/>
          </w:r>
          <w:r>
            <w:rPr>
              <w:color w:val="auto"/>
            </w:rPr>
            <w:t>82</w:t>
          </w:r>
          <w:r>
            <w:rPr>
              <w:rFonts w:hint="eastAsia"/>
              <w:color w:val="auto"/>
            </w:rPr>
            <w:fldChar w:fldCharType="end"/>
          </w:r>
          <w:r>
            <w:rPr>
              <w:rFonts w:hint="eastAsia"/>
              <w:color w:val="auto"/>
            </w:rPr>
            <w:fldChar w:fldCharType="end"/>
          </w:r>
        </w:p>
        <w:p w14:paraId="1DB458E7">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"_Toc225513320" </w:instrText>
          </w:r>
          <w:r>
            <w:rPr>
              <w:color w:val="auto"/>
            </w:rPr>
            <w:fldChar w:fldCharType="separate"/>
          </w:r>
          <w:r>
            <w:rPr>
              <w:rStyle w:val="36"/>
              <w:rFonts w:hint="eastAsia"/>
              <w:color w:val="auto"/>
            </w:rPr>
            <w:t>一、强化体育设施基础，优化公共服务供给</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_Toc225513320 \h</w:instrText>
          </w:r>
          <w:r>
            <w:rPr>
              <w:rFonts w:hint="eastAsia"/>
              <w:color w:val="auto"/>
            </w:rPr>
            <w:instrText xml:space="preserve"> </w:instrText>
          </w:r>
          <w:r>
            <w:rPr>
              <w:rFonts w:hint="eastAsia"/>
              <w:color w:val="auto"/>
            </w:rPr>
            <w:fldChar w:fldCharType="separate"/>
          </w:r>
          <w:r>
            <w:rPr>
              <w:color w:val="auto"/>
            </w:rPr>
            <w:t>82</w:t>
          </w:r>
          <w:r>
            <w:rPr>
              <w:rFonts w:hint="eastAsia"/>
              <w:color w:val="auto"/>
            </w:rPr>
            <w:fldChar w:fldCharType="end"/>
          </w:r>
          <w:r>
            <w:rPr>
              <w:rFonts w:hint="eastAsia"/>
              <w:color w:val="auto"/>
            </w:rPr>
            <w:fldChar w:fldCharType="end"/>
          </w:r>
        </w:p>
        <w:p w14:paraId="2AC35D8D">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"_Toc225513321" </w:instrText>
          </w:r>
          <w:r>
            <w:rPr>
              <w:color w:val="auto"/>
            </w:rPr>
            <w:fldChar w:fldCharType="separate"/>
          </w:r>
          <w:r>
            <w:rPr>
              <w:rStyle w:val="36"/>
              <w:rFonts w:hint="eastAsia"/>
              <w:color w:val="auto"/>
            </w:rPr>
            <w:t>二、深化体卫体教融合，强化健康促进作用</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_Toc225513321 \h</w:instrText>
          </w:r>
          <w:r>
            <w:rPr>
              <w:rFonts w:hint="eastAsia"/>
              <w:color w:val="auto"/>
            </w:rPr>
            <w:instrText xml:space="preserve"> </w:instrText>
          </w:r>
          <w:r>
            <w:rPr>
              <w:rFonts w:hint="eastAsia"/>
              <w:color w:val="auto"/>
            </w:rPr>
            <w:fldChar w:fldCharType="separate"/>
          </w:r>
          <w:r>
            <w:rPr>
              <w:color w:val="auto"/>
            </w:rPr>
            <w:t>82</w:t>
          </w:r>
          <w:r>
            <w:rPr>
              <w:rFonts w:hint="eastAsia"/>
              <w:color w:val="auto"/>
            </w:rPr>
            <w:fldChar w:fldCharType="end"/>
          </w:r>
          <w:r>
            <w:rPr>
              <w:rFonts w:hint="eastAsia"/>
              <w:color w:val="auto"/>
            </w:rPr>
            <w:fldChar w:fldCharType="end"/>
          </w:r>
        </w:p>
        <w:p w14:paraId="23E8B694">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"_Toc225513322" </w:instrText>
          </w:r>
          <w:r>
            <w:rPr>
              <w:color w:val="auto"/>
            </w:rPr>
            <w:fldChar w:fldCharType="separate"/>
          </w:r>
          <w:r>
            <w:rPr>
              <w:rStyle w:val="36"/>
              <w:rFonts w:hint="eastAsia"/>
              <w:color w:val="auto"/>
            </w:rPr>
            <w:t>三、培育体育人才队伍，夯实发展支撑力量</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_Toc225513322 \h</w:instrText>
          </w:r>
          <w:r>
            <w:rPr>
              <w:rFonts w:hint="eastAsia"/>
              <w:color w:val="auto"/>
            </w:rPr>
            <w:instrText xml:space="preserve"> </w:instrText>
          </w:r>
          <w:r>
            <w:rPr>
              <w:rFonts w:hint="eastAsia"/>
              <w:color w:val="auto"/>
            </w:rPr>
            <w:fldChar w:fldCharType="separate"/>
          </w:r>
          <w:r>
            <w:rPr>
              <w:color w:val="auto"/>
            </w:rPr>
            <w:t>83</w:t>
          </w:r>
          <w:r>
            <w:rPr>
              <w:rFonts w:hint="eastAsia"/>
              <w:color w:val="auto"/>
            </w:rPr>
            <w:fldChar w:fldCharType="end"/>
          </w:r>
          <w:r>
            <w:rPr>
              <w:rFonts w:hint="eastAsia"/>
              <w:color w:val="auto"/>
            </w:rPr>
            <w:fldChar w:fldCharType="end"/>
          </w:r>
        </w:p>
        <w:p w14:paraId="31B102C4">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"_Toc225513323" </w:instrText>
          </w:r>
          <w:r>
            <w:rPr>
              <w:color w:val="auto"/>
            </w:rPr>
            <w:fldChar w:fldCharType="separate"/>
          </w:r>
          <w:r>
            <w:rPr>
              <w:rStyle w:val="36"/>
              <w:rFonts w:hint="eastAsia"/>
              <w:color w:val="auto"/>
            </w:rPr>
            <w:t>四、发展特色体育产业，激发市场活力动能</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_Toc225513323 \h</w:instrText>
          </w:r>
          <w:r>
            <w:rPr>
              <w:rFonts w:hint="eastAsia"/>
              <w:color w:val="auto"/>
            </w:rPr>
            <w:instrText xml:space="preserve"> </w:instrText>
          </w:r>
          <w:r>
            <w:rPr>
              <w:rFonts w:hint="eastAsia"/>
              <w:color w:val="auto"/>
            </w:rPr>
            <w:fldChar w:fldCharType="separate"/>
          </w:r>
          <w:r>
            <w:rPr>
              <w:color w:val="auto"/>
            </w:rPr>
            <w:t>83</w:t>
          </w:r>
          <w:r>
            <w:rPr>
              <w:rFonts w:hint="eastAsia"/>
              <w:color w:val="auto"/>
            </w:rPr>
            <w:fldChar w:fldCharType="end"/>
          </w:r>
          <w:r>
            <w:rPr>
              <w:rFonts w:hint="eastAsia"/>
              <w:color w:val="auto"/>
            </w:rPr>
            <w:fldChar w:fldCharType="end"/>
          </w:r>
        </w:p>
        <w:p w14:paraId="6EC3D91D">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"_Toc225513324" </w:instrText>
          </w:r>
          <w:r>
            <w:rPr>
              <w:color w:val="auto"/>
            </w:rPr>
            <w:fldChar w:fldCharType="separate"/>
          </w:r>
          <w:r>
            <w:rPr>
              <w:rStyle w:val="36"/>
              <w:rFonts w:hint="eastAsia"/>
              <w:color w:val="auto"/>
            </w:rPr>
            <w:t>五、弘扬体育文化精神，营造全民参与氛围</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_Toc225513324 \h</w:instrText>
          </w:r>
          <w:r>
            <w:rPr>
              <w:rFonts w:hint="eastAsia"/>
              <w:color w:val="auto"/>
            </w:rPr>
            <w:instrText xml:space="preserve"> </w:instrText>
          </w:r>
          <w:r>
            <w:rPr>
              <w:rFonts w:hint="eastAsia"/>
              <w:color w:val="auto"/>
            </w:rPr>
            <w:fldChar w:fldCharType="separate"/>
          </w:r>
          <w:r>
            <w:rPr>
              <w:color w:val="auto"/>
            </w:rPr>
            <w:t>83</w:t>
          </w:r>
          <w:r>
            <w:rPr>
              <w:rFonts w:hint="eastAsia"/>
              <w:color w:val="auto"/>
            </w:rPr>
            <w:fldChar w:fldCharType="end"/>
          </w:r>
          <w:r>
            <w:rPr>
              <w:rFonts w:hint="eastAsia"/>
              <w:color w:val="auto"/>
            </w:rPr>
            <w:fldChar w:fldCharType="end"/>
          </w:r>
        </w:p>
        <w:p w14:paraId="6A6D2B6A">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"_Toc225513325" </w:instrText>
          </w:r>
          <w:r>
            <w:rPr>
              <w:color w:val="auto"/>
            </w:rPr>
            <w:fldChar w:fldCharType="separate"/>
          </w:r>
          <w:r>
            <w:rPr>
              <w:rStyle w:val="36"/>
              <w:rFonts w:hint="eastAsia"/>
              <w:color w:val="auto"/>
            </w:rPr>
            <w:t>第五章 巩固全国文明城市建设成果</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_Toc225513325 \h</w:instrText>
          </w:r>
          <w:r>
            <w:rPr>
              <w:rFonts w:hint="eastAsia"/>
              <w:color w:val="auto"/>
            </w:rPr>
            <w:instrText xml:space="preserve"> </w:instrText>
          </w:r>
          <w:r>
            <w:rPr>
              <w:rFonts w:hint="eastAsia"/>
              <w:color w:val="auto"/>
            </w:rPr>
            <w:fldChar w:fldCharType="separate"/>
          </w:r>
          <w:r>
            <w:rPr>
              <w:color w:val="auto"/>
            </w:rPr>
            <w:t>84</w:t>
          </w:r>
          <w:r>
            <w:rPr>
              <w:rFonts w:hint="eastAsia"/>
              <w:color w:val="auto"/>
            </w:rPr>
            <w:fldChar w:fldCharType="end"/>
          </w:r>
          <w:r>
            <w:rPr>
              <w:rFonts w:hint="eastAsia"/>
              <w:color w:val="auto"/>
            </w:rPr>
            <w:fldChar w:fldCharType="end"/>
          </w:r>
        </w:p>
        <w:p w14:paraId="79276157">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"_Toc225513326" </w:instrText>
          </w:r>
          <w:r>
            <w:rPr>
              <w:color w:val="auto"/>
            </w:rPr>
            <w:fldChar w:fldCharType="separate"/>
          </w:r>
          <w:r>
            <w:rPr>
              <w:rStyle w:val="36"/>
              <w:rFonts w:hint="eastAsia"/>
              <w:color w:val="auto"/>
            </w:rPr>
            <w:t>一、全面提升社会文明水平</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_Toc225513326 \h</w:instrText>
          </w:r>
          <w:r>
            <w:rPr>
              <w:rFonts w:hint="eastAsia"/>
              <w:color w:val="auto"/>
            </w:rPr>
            <w:instrText xml:space="preserve"> </w:instrText>
          </w:r>
          <w:r>
            <w:rPr>
              <w:rFonts w:hint="eastAsia"/>
              <w:color w:val="auto"/>
            </w:rPr>
            <w:fldChar w:fldCharType="separate"/>
          </w:r>
          <w:r>
            <w:rPr>
              <w:color w:val="auto"/>
            </w:rPr>
            <w:t>84</w:t>
          </w:r>
          <w:r>
            <w:rPr>
              <w:rFonts w:hint="eastAsia"/>
              <w:color w:val="auto"/>
            </w:rPr>
            <w:fldChar w:fldCharType="end"/>
          </w:r>
          <w:r>
            <w:rPr>
              <w:rFonts w:hint="eastAsia"/>
              <w:color w:val="auto"/>
            </w:rPr>
            <w:fldChar w:fldCharType="end"/>
          </w:r>
        </w:p>
        <w:p w14:paraId="76CE2CA8">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"_Toc225513327" </w:instrText>
          </w:r>
          <w:r>
            <w:rPr>
              <w:color w:val="auto"/>
            </w:rPr>
            <w:fldChar w:fldCharType="separate"/>
          </w:r>
          <w:r>
            <w:rPr>
              <w:rStyle w:val="36"/>
              <w:rFonts w:hint="eastAsia"/>
              <w:color w:val="auto"/>
            </w:rPr>
            <w:t>二、培育儿童友好社会</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_Toc225513327 \h</w:instrText>
          </w:r>
          <w:r>
            <w:rPr>
              <w:rFonts w:hint="eastAsia"/>
              <w:color w:val="auto"/>
            </w:rPr>
            <w:instrText xml:space="preserve"> </w:instrText>
          </w:r>
          <w:r>
            <w:rPr>
              <w:rFonts w:hint="eastAsia"/>
              <w:color w:val="auto"/>
            </w:rPr>
            <w:fldChar w:fldCharType="separate"/>
          </w:r>
          <w:r>
            <w:rPr>
              <w:color w:val="auto"/>
            </w:rPr>
            <w:t>84</w:t>
          </w:r>
          <w:r>
            <w:rPr>
              <w:rFonts w:hint="eastAsia"/>
              <w:color w:val="auto"/>
            </w:rPr>
            <w:fldChar w:fldCharType="end"/>
          </w:r>
          <w:r>
            <w:rPr>
              <w:rFonts w:hint="eastAsia"/>
              <w:color w:val="auto"/>
            </w:rPr>
            <w:fldChar w:fldCharType="end"/>
          </w:r>
        </w:p>
        <w:p w14:paraId="5E941227">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"_Toc225513328" </w:instrText>
          </w:r>
          <w:r>
            <w:rPr>
              <w:color w:val="auto"/>
            </w:rPr>
            <w:fldChar w:fldCharType="separate"/>
          </w:r>
          <w:r>
            <w:rPr>
              <w:rStyle w:val="36"/>
              <w:rFonts w:hint="eastAsia"/>
              <w:color w:val="auto"/>
            </w:rPr>
            <w:t>三、增强青年传承力量</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_Toc225513328 \h</w:instrText>
          </w:r>
          <w:r>
            <w:rPr>
              <w:rFonts w:hint="eastAsia"/>
              <w:color w:val="auto"/>
            </w:rPr>
            <w:instrText xml:space="preserve"> </w:instrText>
          </w:r>
          <w:r>
            <w:rPr>
              <w:rFonts w:hint="eastAsia"/>
              <w:color w:val="auto"/>
            </w:rPr>
            <w:fldChar w:fldCharType="separate"/>
          </w:r>
          <w:r>
            <w:rPr>
              <w:color w:val="auto"/>
            </w:rPr>
            <w:t>85</w:t>
          </w:r>
          <w:r>
            <w:rPr>
              <w:rFonts w:hint="eastAsia"/>
              <w:color w:val="auto"/>
            </w:rPr>
            <w:fldChar w:fldCharType="end"/>
          </w:r>
          <w:r>
            <w:rPr>
              <w:rFonts w:hint="eastAsia"/>
              <w:color w:val="auto"/>
            </w:rPr>
            <w:fldChar w:fldCharType="end"/>
          </w:r>
        </w:p>
        <w:p w14:paraId="71895C60">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"_Toc225513329" </w:instrText>
          </w:r>
          <w:r>
            <w:rPr>
              <w:color w:val="auto"/>
            </w:rPr>
            <w:fldChar w:fldCharType="separate"/>
          </w:r>
          <w:r>
            <w:rPr>
              <w:rStyle w:val="36"/>
              <w:rFonts w:hint="eastAsia"/>
              <w:color w:val="auto"/>
            </w:rPr>
            <w:t>四、满足老年幸福需求</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_Toc225513329 \h</w:instrText>
          </w:r>
          <w:r>
            <w:rPr>
              <w:rFonts w:hint="eastAsia"/>
              <w:color w:val="auto"/>
            </w:rPr>
            <w:instrText xml:space="preserve"> </w:instrText>
          </w:r>
          <w:r>
            <w:rPr>
              <w:rFonts w:hint="eastAsia"/>
              <w:color w:val="auto"/>
            </w:rPr>
            <w:fldChar w:fldCharType="separate"/>
          </w:r>
          <w:r>
            <w:rPr>
              <w:color w:val="auto"/>
            </w:rPr>
            <w:t>87</w:t>
          </w:r>
          <w:r>
            <w:rPr>
              <w:rFonts w:hint="eastAsia"/>
              <w:color w:val="auto"/>
            </w:rPr>
            <w:fldChar w:fldCharType="end"/>
          </w:r>
          <w:r>
            <w:rPr>
              <w:rFonts w:hint="eastAsia"/>
              <w:color w:val="auto"/>
            </w:rPr>
            <w:fldChar w:fldCharType="end"/>
          </w:r>
        </w:p>
        <w:p w14:paraId="3DA9B288">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"_Toc225513330" </w:instrText>
          </w:r>
          <w:r>
            <w:rPr>
              <w:color w:val="auto"/>
            </w:rPr>
            <w:fldChar w:fldCharType="separate"/>
          </w:r>
          <w:r>
            <w:rPr>
              <w:rStyle w:val="36"/>
              <w:rFonts w:hint="eastAsia"/>
              <w:color w:val="auto"/>
            </w:rPr>
            <w:t>第十篇 统筹发展和安全，建设高水平平安平山</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_Toc225513330 \h</w:instrText>
          </w:r>
          <w:r>
            <w:rPr>
              <w:rFonts w:hint="eastAsia"/>
              <w:color w:val="auto"/>
            </w:rPr>
            <w:instrText xml:space="preserve"> </w:instrText>
          </w:r>
          <w:r>
            <w:rPr>
              <w:rFonts w:hint="eastAsia"/>
              <w:color w:val="auto"/>
            </w:rPr>
            <w:fldChar w:fldCharType="separate"/>
          </w:r>
          <w:r>
            <w:rPr>
              <w:color w:val="auto"/>
            </w:rPr>
            <w:t>89</w:t>
          </w:r>
          <w:r>
            <w:rPr>
              <w:rFonts w:hint="eastAsia"/>
              <w:color w:val="auto"/>
            </w:rPr>
            <w:fldChar w:fldCharType="end"/>
          </w:r>
          <w:r>
            <w:rPr>
              <w:rFonts w:hint="eastAsia"/>
              <w:color w:val="auto"/>
            </w:rPr>
            <w:fldChar w:fldCharType="end"/>
          </w:r>
        </w:p>
        <w:p w14:paraId="3232D55D">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"_Toc225513331" </w:instrText>
          </w:r>
          <w:r>
            <w:rPr>
              <w:color w:val="auto"/>
            </w:rPr>
            <w:fldChar w:fldCharType="separate"/>
          </w:r>
          <w:r>
            <w:rPr>
              <w:rStyle w:val="36"/>
              <w:rFonts w:hint="eastAsia"/>
              <w:color w:val="auto"/>
            </w:rPr>
            <w:t>第一章 树牢系统观念，筑牢安全发展防线</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_Toc225513331 \h</w:instrText>
          </w:r>
          <w:r>
            <w:rPr>
              <w:rFonts w:hint="eastAsia"/>
              <w:color w:val="auto"/>
            </w:rPr>
            <w:instrText xml:space="preserve"> </w:instrText>
          </w:r>
          <w:r>
            <w:rPr>
              <w:rFonts w:hint="eastAsia"/>
              <w:color w:val="auto"/>
            </w:rPr>
            <w:fldChar w:fldCharType="separate"/>
          </w:r>
          <w:r>
            <w:rPr>
              <w:color w:val="auto"/>
            </w:rPr>
            <w:t>89</w:t>
          </w:r>
          <w:r>
            <w:rPr>
              <w:rFonts w:hint="eastAsia"/>
              <w:color w:val="auto"/>
            </w:rPr>
            <w:fldChar w:fldCharType="end"/>
          </w:r>
          <w:r>
            <w:rPr>
              <w:rFonts w:hint="eastAsia"/>
              <w:color w:val="auto"/>
            </w:rPr>
            <w:fldChar w:fldCharType="end"/>
          </w:r>
        </w:p>
        <w:p w14:paraId="63300EF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"_Toc225513332" </w:instrText>
          </w:r>
          <w:r>
            <w:rPr>
              <w:color w:val="auto"/>
            </w:rPr>
            <w:fldChar w:fldCharType="separate"/>
          </w:r>
          <w:r>
            <w:rPr>
              <w:rStyle w:val="36"/>
              <w:rFonts w:hint="eastAsia"/>
              <w:color w:val="auto"/>
            </w:rPr>
            <w:t>一、筑牢国家安全防线</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_Toc225513332 \h</w:instrText>
          </w:r>
          <w:r>
            <w:rPr>
              <w:rFonts w:hint="eastAsia"/>
              <w:color w:val="auto"/>
            </w:rPr>
            <w:instrText xml:space="preserve"> </w:instrText>
          </w:r>
          <w:r>
            <w:rPr>
              <w:rFonts w:hint="eastAsia"/>
              <w:color w:val="auto"/>
            </w:rPr>
            <w:fldChar w:fldCharType="separate"/>
          </w:r>
          <w:r>
            <w:rPr>
              <w:color w:val="auto"/>
            </w:rPr>
            <w:t>89</w:t>
          </w:r>
          <w:r>
            <w:rPr>
              <w:rFonts w:hint="eastAsia"/>
              <w:color w:val="auto"/>
            </w:rPr>
            <w:fldChar w:fldCharType="end"/>
          </w:r>
          <w:r>
            <w:rPr>
              <w:rFonts w:hint="eastAsia"/>
              <w:color w:val="auto"/>
            </w:rPr>
            <w:fldChar w:fldCharType="end"/>
          </w:r>
        </w:p>
        <w:p w14:paraId="45BB5D85">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"_Toc225513333" </w:instrText>
          </w:r>
          <w:r>
            <w:rPr>
              <w:color w:val="auto"/>
            </w:rPr>
            <w:fldChar w:fldCharType="separate"/>
          </w:r>
          <w:r>
            <w:rPr>
              <w:rStyle w:val="36"/>
              <w:rFonts w:hint="eastAsia"/>
              <w:color w:val="auto"/>
            </w:rPr>
            <w:t>二、落实意识形态工作责任制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_Toc225513333 \h</w:instrText>
          </w:r>
          <w:r>
            <w:rPr>
              <w:rFonts w:hint="eastAsia"/>
              <w:color w:val="auto"/>
            </w:rPr>
            <w:instrText xml:space="preserve"> </w:instrText>
          </w:r>
          <w:r>
            <w:rPr>
              <w:rFonts w:hint="eastAsia"/>
              <w:color w:val="auto"/>
            </w:rPr>
            <w:fldChar w:fldCharType="separate"/>
          </w:r>
          <w:r>
            <w:rPr>
              <w:color w:val="auto"/>
            </w:rPr>
            <w:t>89</w:t>
          </w:r>
          <w:r>
            <w:rPr>
              <w:rFonts w:hint="eastAsia"/>
              <w:color w:val="auto"/>
            </w:rPr>
            <w:fldChar w:fldCharType="end"/>
          </w:r>
          <w:r>
            <w:rPr>
              <w:rFonts w:hint="eastAsia"/>
              <w:color w:val="auto"/>
            </w:rPr>
            <w:fldChar w:fldCharType="end"/>
          </w:r>
        </w:p>
        <w:p w14:paraId="3FFF82D8">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"_Toc225513334" </w:instrText>
          </w:r>
          <w:r>
            <w:rPr>
              <w:color w:val="auto"/>
            </w:rPr>
            <w:fldChar w:fldCharType="separate"/>
          </w:r>
          <w:r>
            <w:rPr>
              <w:rStyle w:val="36"/>
              <w:rFonts w:hint="eastAsia"/>
              <w:color w:val="auto"/>
            </w:rPr>
            <w:t>三、防范化解重点领域风险</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_Toc225513334 \h</w:instrText>
          </w:r>
          <w:r>
            <w:rPr>
              <w:rFonts w:hint="eastAsia"/>
              <w:color w:val="auto"/>
            </w:rPr>
            <w:instrText xml:space="preserve"> </w:instrText>
          </w:r>
          <w:r>
            <w:rPr>
              <w:rFonts w:hint="eastAsia"/>
              <w:color w:val="auto"/>
            </w:rPr>
            <w:fldChar w:fldCharType="separate"/>
          </w:r>
          <w:r>
            <w:rPr>
              <w:color w:val="auto"/>
            </w:rPr>
            <w:t>90</w:t>
          </w:r>
          <w:r>
            <w:rPr>
              <w:rFonts w:hint="eastAsia"/>
              <w:color w:val="auto"/>
            </w:rPr>
            <w:fldChar w:fldCharType="end"/>
          </w:r>
          <w:r>
            <w:rPr>
              <w:rFonts w:hint="eastAsia"/>
              <w:color w:val="auto"/>
            </w:rPr>
            <w:fldChar w:fldCharType="end"/>
          </w:r>
        </w:p>
        <w:p w14:paraId="484B75E7">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"_Toc225513335" </w:instrText>
          </w:r>
          <w:r>
            <w:rPr>
              <w:color w:val="auto"/>
            </w:rPr>
            <w:fldChar w:fldCharType="separate"/>
          </w:r>
          <w:r>
            <w:rPr>
              <w:rStyle w:val="36"/>
              <w:rFonts w:hint="eastAsia"/>
              <w:color w:val="auto"/>
            </w:rPr>
            <w:t>四、加强新型领域安全风险防范</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_Toc225513335 \h</w:instrText>
          </w:r>
          <w:r>
            <w:rPr>
              <w:rFonts w:hint="eastAsia"/>
              <w:color w:val="auto"/>
            </w:rPr>
            <w:instrText xml:space="preserve"> </w:instrText>
          </w:r>
          <w:r>
            <w:rPr>
              <w:rFonts w:hint="eastAsia"/>
              <w:color w:val="auto"/>
            </w:rPr>
            <w:fldChar w:fldCharType="separate"/>
          </w:r>
          <w:r>
            <w:rPr>
              <w:color w:val="auto"/>
            </w:rPr>
            <w:t>90</w:t>
          </w:r>
          <w:r>
            <w:rPr>
              <w:rFonts w:hint="eastAsia"/>
              <w:color w:val="auto"/>
            </w:rPr>
            <w:fldChar w:fldCharType="end"/>
          </w:r>
          <w:r>
            <w:rPr>
              <w:rFonts w:hint="eastAsia"/>
              <w:color w:val="auto"/>
            </w:rPr>
            <w:fldChar w:fldCharType="end"/>
          </w:r>
        </w:p>
        <w:p w14:paraId="11F70C2B">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"_Toc225513336" </w:instrText>
          </w:r>
          <w:r>
            <w:rPr>
              <w:color w:val="auto"/>
            </w:rPr>
            <w:fldChar w:fldCharType="separate"/>
          </w:r>
          <w:r>
            <w:rPr>
              <w:rStyle w:val="36"/>
              <w:rFonts w:hint="eastAsia"/>
              <w:color w:val="auto"/>
            </w:rPr>
            <w:t>第二章 筑牢安全防线，保障人民生命财产安全</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_Toc225513336 \h</w:instrText>
          </w:r>
          <w:r>
            <w:rPr>
              <w:rFonts w:hint="eastAsia"/>
              <w:color w:val="auto"/>
            </w:rPr>
            <w:instrText xml:space="preserve"> </w:instrText>
          </w:r>
          <w:r>
            <w:rPr>
              <w:rFonts w:hint="eastAsia"/>
              <w:color w:val="auto"/>
            </w:rPr>
            <w:fldChar w:fldCharType="separate"/>
          </w:r>
          <w:r>
            <w:rPr>
              <w:color w:val="auto"/>
            </w:rPr>
            <w:t>90</w:t>
          </w:r>
          <w:r>
            <w:rPr>
              <w:rFonts w:hint="eastAsia"/>
              <w:color w:val="auto"/>
            </w:rPr>
            <w:fldChar w:fldCharType="end"/>
          </w:r>
          <w:r>
            <w:rPr>
              <w:rFonts w:hint="eastAsia"/>
              <w:color w:val="auto"/>
            </w:rPr>
            <w:fldChar w:fldCharType="end"/>
          </w:r>
        </w:p>
        <w:p w14:paraId="4D9A7AA7">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"_Toc225513337" </w:instrText>
          </w:r>
          <w:r>
            <w:rPr>
              <w:color w:val="auto"/>
            </w:rPr>
            <w:fldChar w:fldCharType="separate"/>
          </w:r>
          <w:r>
            <w:rPr>
              <w:rStyle w:val="36"/>
              <w:rFonts w:hint="eastAsia"/>
              <w:color w:val="auto"/>
            </w:rPr>
            <w:t>一、加强森林草原防火防灾工作</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_Toc225513337 \h</w:instrText>
          </w:r>
          <w:r>
            <w:rPr>
              <w:rFonts w:hint="eastAsia"/>
              <w:color w:val="auto"/>
            </w:rPr>
            <w:instrText xml:space="preserve"> </w:instrText>
          </w:r>
          <w:r>
            <w:rPr>
              <w:rFonts w:hint="eastAsia"/>
              <w:color w:val="auto"/>
            </w:rPr>
            <w:fldChar w:fldCharType="separate"/>
          </w:r>
          <w:r>
            <w:rPr>
              <w:color w:val="auto"/>
            </w:rPr>
            <w:t>90</w:t>
          </w:r>
          <w:r>
            <w:rPr>
              <w:rFonts w:hint="eastAsia"/>
              <w:color w:val="auto"/>
            </w:rPr>
            <w:fldChar w:fldCharType="end"/>
          </w:r>
          <w:r>
            <w:rPr>
              <w:rFonts w:hint="eastAsia"/>
              <w:color w:val="auto"/>
            </w:rPr>
            <w:fldChar w:fldCharType="end"/>
          </w:r>
        </w:p>
        <w:p w14:paraId="3A6038E0">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"_Toc225513338" </w:instrText>
          </w:r>
          <w:r>
            <w:rPr>
              <w:color w:val="auto"/>
            </w:rPr>
            <w:fldChar w:fldCharType="separate"/>
          </w:r>
          <w:r>
            <w:rPr>
              <w:rStyle w:val="36"/>
              <w:rFonts w:hint="eastAsia"/>
              <w:color w:val="auto"/>
            </w:rPr>
            <w:t>二、着力保障消防安全</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_Toc225513338 \h</w:instrText>
          </w:r>
          <w:r>
            <w:rPr>
              <w:rFonts w:hint="eastAsia"/>
              <w:color w:val="auto"/>
            </w:rPr>
            <w:instrText xml:space="preserve"> </w:instrText>
          </w:r>
          <w:r>
            <w:rPr>
              <w:rFonts w:hint="eastAsia"/>
              <w:color w:val="auto"/>
            </w:rPr>
            <w:fldChar w:fldCharType="separate"/>
          </w:r>
          <w:r>
            <w:rPr>
              <w:color w:val="auto"/>
            </w:rPr>
            <w:t>91</w:t>
          </w:r>
          <w:r>
            <w:rPr>
              <w:rFonts w:hint="eastAsia"/>
              <w:color w:val="auto"/>
            </w:rPr>
            <w:fldChar w:fldCharType="end"/>
          </w:r>
          <w:r>
            <w:rPr>
              <w:rFonts w:hint="eastAsia"/>
              <w:color w:val="auto"/>
            </w:rPr>
            <w:fldChar w:fldCharType="end"/>
          </w:r>
        </w:p>
        <w:p w14:paraId="1872CBE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"_Toc225513339" </w:instrText>
          </w:r>
          <w:r>
            <w:rPr>
              <w:color w:val="auto"/>
            </w:rPr>
            <w:fldChar w:fldCharType="separate"/>
          </w:r>
          <w:r>
            <w:rPr>
              <w:rStyle w:val="36"/>
              <w:rFonts w:hint="eastAsia"/>
              <w:color w:val="auto"/>
            </w:rPr>
            <w:t>三、严格食品药品安全监管</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_Toc225513339 \h</w:instrText>
          </w:r>
          <w:r>
            <w:rPr>
              <w:rFonts w:hint="eastAsia"/>
              <w:color w:val="auto"/>
            </w:rPr>
            <w:instrText xml:space="preserve"> </w:instrText>
          </w:r>
          <w:r>
            <w:rPr>
              <w:rFonts w:hint="eastAsia"/>
              <w:color w:val="auto"/>
            </w:rPr>
            <w:fldChar w:fldCharType="separate"/>
          </w:r>
          <w:r>
            <w:rPr>
              <w:color w:val="auto"/>
            </w:rPr>
            <w:t>92</w:t>
          </w:r>
          <w:r>
            <w:rPr>
              <w:rFonts w:hint="eastAsia"/>
              <w:color w:val="auto"/>
            </w:rPr>
            <w:fldChar w:fldCharType="end"/>
          </w:r>
          <w:r>
            <w:rPr>
              <w:rFonts w:hint="eastAsia"/>
              <w:color w:val="auto"/>
            </w:rPr>
            <w:fldChar w:fldCharType="end"/>
          </w:r>
        </w:p>
        <w:p w14:paraId="070557A8">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"_Toc225513340" </w:instrText>
          </w:r>
          <w:r>
            <w:rPr>
              <w:color w:val="auto"/>
            </w:rPr>
            <w:fldChar w:fldCharType="separate"/>
          </w:r>
          <w:r>
            <w:rPr>
              <w:rStyle w:val="36"/>
              <w:rFonts w:hint="eastAsia"/>
              <w:color w:val="auto"/>
            </w:rPr>
            <w:t>四、强化安全风险综合防控</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_Toc225513340 \h</w:instrText>
          </w:r>
          <w:r>
            <w:rPr>
              <w:rFonts w:hint="eastAsia"/>
              <w:color w:val="auto"/>
            </w:rPr>
            <w:instrText xml:space="preserve"> </w:instrText>
          </w:r>
          <w:r>
            <w:rPr>
              <w:rFonts w:hint="eastAsia"/>
              <w:color w:val="auto"/>
            </w:rPr>
            <w:fldChar w:fldCharType="separate"/>
          </w:r>
          <w:r>
            <w:rPr>
              <w:color w:val="auto"/>
            </w:rPr>
            <w:t>92</w:t>
          </w:r>
          <w:r>
            <w:rPr>
              <w:rFonts w:hint="eastAsia"/>
              <w:color w:val="auto"/>
            </w:rPr>
            <w:fldChar w:fldCharType="end"/>
          </w:r>
          <w:r>
            <w:rPr>
              <w:rFonts w:hint="eastAsia"/>
              <w:color w:val="auto"/>
            </w:rPr>
            <w:fldChar w:fldCharType="end"/>
          </w:r>
        </w:p>
        <w:p w14:paraId="7300695F">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"_Toc225513341" </w:instrText>
          </w:r>
          <w:r>
            <w:rPr>
              <w:color w:val="auto"/>
            </w:rPr>
            <w:fldChar w:fldCharType="separate"/>
          </w:r>
          <w:r>
            <w:rPr>
              <w:rStyle w:val="36"/>
              <w:rFonts w:hint="eastAsia"/>
              <w:color w:val="auto"/>
            </w:rPr>
            <w:t>第三章 深化基层治理，维护社会面安全</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_Toc225513341 \h</w:instrText>
          </w:r>
          <w:r>
            <w:rPr>
              <w:rFonts w:hint="eastAsia"/>
              <w:color w:val="auto"/>
            </w:rPr>
            <w:instrText xml:space="preserve"> </w:instrText>
          </w:r>
          <w:r>
            <w:rPr>
              <w:rFonts w:hint="eastAsia"/>
              <w:color w:val="auto"/>
            </w:rPr>
            <w:fldChar w:fldCharType="separate"/>
          </w:r>
          <w:r>
            <w:rPr>
              <w:color w:val="auto"/>
            </w:rPr>
            <w:t>92</w:t>
          </w:r>
          <w:r>
            <w:rPr>
              <w:rFonts w:hint="eastAsia"/>
              <w:color w:val="auto"/>
            </w:rPr>
            <w:fldChar w:fldCharType="end"/>
          </w:r>
          <w:r>
            <w:rPr>
              <w:rFonts w:hint="eastAsia"/>
              <w:color w:val="auto"/>
            </w:rPr>
            <w:fldChar w:fldCharType="end"/>
          </w:r>
        </w:p>
        <w:p w14:paraId="71D75B31">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"_Toc225513342" </w:instrText>
          </w:r>
          <w:r>
            <w:rPr>
              <w:color w:val="auto"/>
            </w:rPr>
            <w:fldChar w:fldCharType="separate"/>
          </w:r>
          <w:r>
            <w:rPr>
              <w:rStyle w:val="36"/>
              <w:rFonts w:hint="eastAsia"/>
              <w:color w:val="auto"/>
            </w:rPr>
            <w:t>一、完善社会治安防控体系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_Toc225513342 \h</w:instrText>
          </w:r>
          <w:r>
            <w:rPr>
              <w:rFonts w:hint="eastAsia"/>
              <w:color w:val="auto"/>
            </w:rPr>
            <w:instrText xml:space="preserve"> </w:instrText>
          </w:r>
          <w:r>
            <w:rPr>
              <w:rFonts w:hint="eastAsia"/>
              <w:color w:val="auto"/>
            </w:rPr>
            <w:fldChar w:fldCharType="separate"/>
          </w:r>
          <w:r>
            <w:rPr>
              <w:color w:val="auto"/>
            </w:rPr>
            <w:t>92</w:t>
          </w:r>
          <w:r>
            <w:rPr>
              <w:rFonts w:hint="eastAsia"/>
              <w:color w:val="auto"/>
            </w:rPr>
            <w:fldChar w:fldCharType="end"/>
          </w:r>
          <w:r>
            <w:rPr>
              <w:rFonts w:hint="eastAsia"/>
              <w:color w:val="auto"/>
            </w:rPr>
            <w:fldChar w:fldCharType="end"/>
          </w:r>
        </w:p>
        <w:p w14:paraId="6DD26667">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"_Toc225513343" </w:instrText>
          </w:r>
          <w:r>
            <w:rPr>
              <w:color w:val="auto"/>
            </w:rPr>
            <w:fldChar w:fldCharType="separate"/>
          </w:r>
          <w:r>
            <w:rPr>
              <w:rStyle w:val="36"/>
              <w:rFonts w:hint="eastAsia"/>
              <w:color w:val="auto"/>
            </w:rPr>
            <w:t>二、健全矛盾纠纷化解机制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_Toc225513343 \h</w:instrText>
          </w:r>
          <w:r>
            <w:rPr>
              <w:rFonts w:hint="eastAsia"/>
              <w:color w:val="auto"/>
            </w:rPr>
            <w:instrText xml:space="preserve"> </w:instrText>
          </w:r>
          <w:r>
            <w:rPr>
              <w:rFonts w:hint="eastAsia"/>
              <w:color w:val="auto"/>
            </w:rPr>
            <w:fldChar w:fldCharType="separate"/>
          </w:r>
          <w:r>
            <w:rPr>
              <w:color w:val="auto"/>
            </w:rPr>
            <w:t>93</w:t>
          </w:r>
          <w:r>
            <w:rPr>
              <w:rFonts w:hint="eastAsia"/>
              <w:color w:val="auto"/>
            </w:rPr>
            <w:fldChar w:fldCharType="end"/>
          </w:r>
          <w:r>
            <w:rPr>
              <w:rFonts w:hint="eastAsia"/>
              <w:color w:val="auto"/>
            </w:rPr>
            <w:fldChar w:fldCharType="end"/>
          </w:r>
        </w:p>
        <w:p w14:paraId="3BAF6425">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"_Toc225513344" </w:instrText>
          </w:r>
          <w:r>
            <w:rPr>
              <w:color w:val="auto"/>
            </w:rPr>
            <w:fldChar w:fldCharType="separate"/>
          </w:r>
          <w:r>
            <w:rPr>
              <w:rStyle w:val="36"/>
              <w:rFonts w:hint="eastAsia"/>
              <w:color w:val="auto"/>
            </w:rPr>
            <w:t>三、推进数字化社会治理</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_Toc225513344 \h</w:instrText>
          </w:r>
          <w:r>
            <w:rPr>
              <w:rFonts w:hint="eastAsia"/>
              <w:color w:val="auto"/>
            </w:rPr>
            <w:instrText xml:space="preserve"> </w:instrText>
          </w:r>
          <w:r>
            <w:rPr>
              <w:rFonts w:hint="eastAsia"/>
              <w:color w:val="auto"/>
            </w:rPr>
            <w:fldChar w:fldCharType="separate"/>
          </w:r>
          <w:r>
            <w:rPr>
              <w:color w:val="auto"/>
            </w:rPr>
            <w:t>93</w:t>
          </w:r>
          <w:r>
            <w:rPr>
              <w:rFonts w:hint="eastAsia"/>
              <w:color w:val="auto"/>
            </w:rPr>
            <w:fldChar w:fldCharType="end"/>
          </w:r>
          <w:r>
            <w:rPr>
              <w:rFonts w:hint="eastAsia"/>
              <w:color w:val="auto"/>
            </w:rPr>
            <w:fldChar w:fldCharType="end"/>
          </w:r>
        </w:p>
        <w:p w14:paraId="52A1BA7A">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"_Toc225513345" </w:instrText>
          </w:r>
          <w:r>
            <w:rPr>
              <w:color w:val="auto"/>
            </w:rPr>
            <w:fldChar w:fldCharType="separate"/>
          </w:r>
          <w:r>
            <w:rPr>
              <w:rStyle w:val="36"/>
              <w:rFonts w:hint="eastAsia"/>
              <w:color w:val="auto"/>
            </w:rPr>
            <w:t>四、推进法治平山建设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_Toc225513345 \h</w:instrText>
          </w:r>
          <w:r>
            <w:rPr>
              <w:rFonts w:hint="eastAsia"/>
              <w:color w:val="auto"/>
            </w:rPr>
            <w:instrText xml:space="preserve"> </w:instrText>
          </w:r>
          <w:r>
            <w:rPr>
              <w:rFonts w:hint="eastAsia"/>
              <w:color w:val="auto"/>
            </w:rPr>
            <w:fldChar w:fldCharType="separate"/>
          </w:r>
          <w:r>
            <w:rPr>
              <w:color w:val="auto"/>
            </w:rPr>
            <w:t>94</w:t>
          </w:r>
          <w:r>
            <w:rPr>
              <w:rFonts w:hint="eastAsia"/>
              <w:color w:val="auto"/>
            </w:rPr>
            <w:fldChar w:fldCharType="end"/>
          </w:r>
          <w:r>
            <w:rPr>
              <w:rFonts w:hint="eastAsia"/>
              <w:color w:val="auto"/>
            </w:rPr>
            <w:fldChar w:fldCharType="end"/>
          </w:r>
        </w:p>
        <w:p w14:paraId="217BCEC3">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"_Toc225513346" </w:instrText>
          </w:r>
          <w:r>
            <w:rPr>
              <w:color w:val="auto"/>
            </w:rPr>
            <w:fldChar w:fldCharType="separate"/>
          </w:r>
          <w:r>
            <w:rPr>
              <w:rStyle w:val="36"/>
              <w:rFonts w:hint="eastAsia"/>
              <w:color w:val="auto"/>
            </w:rPr>
            <w:t>五、加强国防动员和后备力量建设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_Toc225513346 \h</w:instrText>
          </w:r>
          <w:r>
            <w:rPr>
              <w:rFonts w:hint="eastAsia"/>
              <w:color w:val="auto"/>
            </w:rPr>
            <w:instrText xml:space="preserve"> </w:instrText>
          </w:r>
          <w:r>
            <w:rPr>
              <w:rFonts w:hint="eastAsia"/>
              <w:color w:val="auto"/>
            </w:rPr>
            <w:fldChar w:fldCharType="separate"/>
          </w:r>
          <w:r>
            <w:rPr>
              <w:color w:val="auto"/>
            </w:rPr>
            <w:t>94</w:t>
          </w:r>
          <w:r>
            <w:rPr>
              <w:rFonts w:hint="eastAsia"/>
              <w:color w:val="auto"/>
            </w:rPr>
            <w:fldChar w:fldCharType="end"/>
          </w:r>
          <w:r>
            <w:rPr>
              <w:rFonts w:hint="eastAsia"/>
              <w:color w:val="auto"/>
            </w:rPr>
            <w:fldChar w:fldCharType="end"/>
          </w:r>
        </w:p>
        <w:p w14:paraId="25B7CCA8">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"_Toc225513347" </w:instrText>
          </w:r>
          <w:r>
            <w:rPr>
              <w:color w:val="auto"/>
            </w:rPr>
            <w:fldChar w:fldCharType="separate"/>
          </w:r>
          <w:r>
            <w:rPr>
              <w:rStyle w:val="36"/>
              <w:rFonts w:hint="eastAsia"/>
              <w:color w:val="auto"/>
            </w:rPr>
            <w:t>第十一篇 保障基础设施，增强高质量发展硬实力</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_Toc225513347 \h</w:instrText>
          </w:r>
          <w:r>
            <w:rPr>
              <w:rFonts w:hint="eastAsia"/>
              <w:color w:val="auto"/>
            </w:rPr>
            <w:instrText xml:space="preserve"> </w:instrText>
          </w:r>
          <w:r>
            <w:rPr>
              <w:rFonts w:hint="eastAsia"/>
              <w:color w:val="auto"/>
            </w:rPr>
            <w:fldChar w:fldCharType="separate"/>
          </w:r>
          <w:r>
            <w:rPr>
              <w:color w:val="auto"/>
            </w:rPr>
            <w:t>96</w:t>
          </w:r>
          <w:r>
            <w:rPr>
              <w:rFonts w:hint="eastAsia"/>
              <w:color w:val="auto"/>
            </w:rPr>
            <w:fldChar w:fldCharType="end"/>
          </w:r>
          <w:r>
            <w:rPr>
              <w:rFonts w:hint="eastAsia"/>
              <w:color w:val="auto"/>
            </w:rPr>
            <w:fldChar w:fldCharType="end"/>
          </w:r>
        </w:p>
        <w:p w14:paraId="17331D41">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"_Toc225513348" </w:instrText>
          </w:r>
          <w:r>
            <w:rPr>
              <w:color w:val="auto"/>
            </w:rPr>
            <w:fldChar w:fldCharType="separate"/>
          </w:r>
          <w:r>
            <w:rPr>
              <w:rStyle w:val="36"/>
              <w:rFonts w:hint="eastAsia"/>
              <w:color w:val="auto"/>
            </w:rPr>
            <w:t>第一章 建设内畅外联的综合交通网络</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_Toc225513348 \h</w:instrText>
          </w:r>
          <w:r>
            <w:rPr>
              <w:rFonts w:hint="eastAsia"/>
              <w:color w:val="auto"/>
            </w:rPr>
            <w:instrText xml:space="preserve"> </w:instrText>
          </w:r>
          <w:r>
            <w:rPr>
              <w:rFonts w:hint="eastAsia"/>
              <w:color w:val="auto"/>
            </w:rPr>
            <w:fldChar w:fldCharType="separate"/>
          </w:r>
          <w:r>
            <w:rPr>
              <w:color w:val="auto"/>
            </w:rPr>
            <w:t>96</w:t>
          </w:r>
          <w:r>
            <w:rPr>
              <w:rFonts w:hint="eastAsia"/>
              <w:color w:val="auto"/>
            </w:rPr>
            <w:fldChar w:fldCharType="end"/>
          </w:r>
          <w:r>
            <w:rPr>
              <w:rFonts w:hint="eastAsia"/>
              <w:color w:val="auto"/>
            </w:rPr>
            <w:fldChar w:fldCharType="end"/>
          </w:r>
        </w:p>
        <w:p w14:paraId="1EF60063">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"_Toc225513349" </w:instrText>
          </w:r>
          <w:r>
            <w:rPr>
              <w:color w:val="auto"/>
            </w:rPr>
            <w:fldChar w:fldCharType="separate"/>
          </w:r>
          <w:r>
            <w:rPr>
              <w:rStyle w:val="36"/>
              <w:rFonts w:hint="eastAsia" w:ascii="仿宋_GB2312"/>
              <w:color w:val="auto"/>
            </w:rPr>
            <w:t>一、优化全域交通网络布局</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_Toc225513349 \h</w:instrText>
          </w:r>
          <w:r>
            <w:rPr>
              <w:rFonts w:hint="eastAsia"/>
              <w:color w:val="auto"/>
            </w:rPr>
            <w:instrText xml:space="preserve"> </w:instrText>
          </w:r>
          <w:r>
            <w:rPr>
              <w:rFonts w:hint="eastAsia"/>
              <w:color w:val="auto"/>
            </w:rPr>
            <w:fldChar w:fldCharType="separate"/>
          </w:r>
          <w:r>
            <w:rPr>
              <w:color w:val="auto"/>
            </w:rPr>
            <w:t>96</w:t>
          </w:r>
          <w:r>
            <w:rPr>
              <w:rFonts w:hint="eastAsia"/>
              <w:color w:val="auto"/>
            </w:rPr>
            <w:fldChar w:fldCharType="end"/>
          </w:r>
          <w:r>
            <w:rPr>
              <w:rFonts w:hint="eastAsia"/>
              <w:color w:val="auto"/>
            </w:rPr>
            <w:fldChar w:fldCharType="end"/>
          </w:r>
        </w:p>
        <w:p w14:paraId="5E798B2A">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"_Toc225513350" </w:instrText>
          </w:r>
          <w:r>
            <w:rPr>
              <w:color w:val="auto"/>
            </w:rPr>
            <w:fldChar w:fldCharType="separate"/>
          </w:r>
          <w:r>
            <w:rPr>
              <w:rStyle w:val="36"/>
              <w:rFonts w:hint="eastAsia" w:ascii="仿宋_GB2312"/>
              <w:color w:val="auto"/>
            </w:rPr>
            <w:t>二、优化县域内部路网结构</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_Toc225513350 \h</w:instrText>
          </w:r>
          <w:r>
            <w:rPr>
              <w:rFonts w:hint="eastAsia"/>
              <w:color w:val="auto"/>
            </w:rPr>
            <w:instrText xml:space="preserve"> </w:instrText>
          </w:r>
          <w:r>
            <w:rPr>
              <w:rFonts w:hint="eastAsia"/>
              <w:color w:val="auto"/>
            </w:rPr>
            <w:fldChar w:fldCharType="separate"/>
          </w:r>
          <w:r>
            <w:rPr>
              <w:color w:val="auto"/>
            </w:rPr>
            <w:t>96</w:t>
          </w:r>
          <w:r>
            <w:rPr>
              <w:rFonts w:hint="eastAsia"/>
              <w:color w:val="auto"/>
            </w:rPr>
            <w:fldChar w:fldCharType="end"/>
          </w:r>
          <w:r>
            <w:rPr>
              <w:rFonts w:hint="eastAsia"/>
              <w:color w:val="auto"/>
            </w:rPr>
            <w:fldChar w:fldCharType="end"/>
          </w:r>
        </w:p>
        <w:p w14:paraId="77DCA2BF">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"_Toc225513351" </w:instrText>
          </w:r>
          <w:r>
            <w:rPr>
              <w:color w:val="auto"/>
            </w:rPr>
            <w:fldChar w:fldCharType="separate"/>
          </w:r>
          <w:r>
            <w:rPr>
              <w:rStyle w:val="36"/>
              <w:rFonts w:hint="eastAsia" w:ascii="仿宋_GB2312"/>
              <w:color w:val="auto"/>
            </w:rPr>
            <w:t>三、强化区域交通协同衔接</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_Toc225513351 \h</w:instrText>
          </w:r>
          <w:r>
            <w:rPr>
              <w:rFonts w:hint="eastAsia"/>
              <w:color w:val="auto"/>
            </w:rPr>
            <w:instrText xml:space="preserve"> </w:instrText>
          </w:r>
          <w:r>
            <w:rPr>
              <w:rFonts w:hint="eastAsia"/>
              <w:color w:val="auto"/>
            </w:rPr>
            <w:fldChar w:fldCharType="separate"/>
          </w:r>
          <w:r>
            <w:rPr>
              <w:color w:val="auto"/>
            </w:rPr>
            <w:t>97</w:t>
          </w:r>
          <w:r>
            <w:rPr>
              <w:rFonts w:hint="eastAsia"/>
              <w:color w:val="auto"/>
            </w:rPr>
            <w:fldChar w:fldCharType="end"/>
          </w:r>
          <w:r>
            <w:rPr>
              <w:rFonts w:hint="eastAsia"/>
              <w:color w:val="auto"/>
            </w:rPr>
            <w:fldChar w:fldCharType="end"/>
          </w:r>
        </w:p>
        <w:p w14:paraId="665C6714">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"_Toc225513352" </w:instrText>
          </w:r>
          <w:r>
            <w:rPr>
              <w:color w:val="auto"/>
            </w:rPr>
            <w:fldChar w:fldCharType="separate"/>
          </w:r>
          <w:r>
            <w:rPr>
              <w:rStyle w:val="36"/>
              <w:rFonts w:hint="eastAsia"/>
              <w:color w:val="auto"/>
            </w:rPr>
            <w:t>第二章 构建多元清洁的能源保障体系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_Toc225513352 \h</w:instrText>
          </w:r>
          <w:r>
            <w:rPr>
              <w:rFonts w:hint="eastAsia"/>
              <w:color w:val="auto"/>
            </w:rPr>
            <w:instrText xml:space="preserve"> </w:instrText>
          </w:r>
          <w:r>
            <w:rPr>
              <w:rFonts w:hint="eastAsia"/>
              <w:color w:val="auto"/>
            </w:rPr>
            <w:fldChar w:fldCharType="separate"/>
          </w:r>
          <w:r>
            <w:rPr>
              <w:color w:val="auto"/>
            </w:rPr>
            <w:t>97</w:t>
          </w:r>
          <w:r>
            <w:rPr>
              <w:rFonts w:hint="eastAsia"/>
              <w:color w:val="auto"/>
            </w:rPr>
            <w:fldChar w:fldCharType="end"/>
          </w:r>
          <w:r>
            <w:rPr>
              <w:rFonts w:hint="eastAsia"/>
              <w:color w:val="auto"/>
            </w:rPr>
            <w:fldChar w:fldCharType="end"/>
          </w:r>
        </w:p>
        <w:p w14:paraId="01EB677A">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"_Toc225513353" </w:instrText>
          </w:r>
          <w:r>
            <w:rPr>
              <w:color w:val="auto"/>
            </w:rPr>
            <w:fldChar w:fldCharType="separate"/>
          </w:r>
          <w:r>
            <w:rPr>
              <w:rStyle w:val="36"/>
              <w:rFonts w:hint="eastAsia"/>
              <w:color w:val="auto"/>
            </w:rPr>
            <w:t>一、加强能源设施建设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_Toc225513353 \h</w:instrText>
          </w:r>
          <w:r>
            <w:rPr>
              <w:rFonts w:hint="eastAsia"/>
              <w:color w:val="auto"/>
            </w:rPr>
            <w:instrText xml:space="preserve"> </w:instrText>
          </w:r>
          <w:r>
            <w:rPr>
              <w:rFonts w:hint="eastAsia"/>
              <w:color w:val="auto"/>
            </w:rPr>
            <w:fldChar w:fldCharType="separate"/>
          </w:r>
          <w:r>
            <w:rPr>
              <w:color w:val="auto"/>
            </w:rPr>
            <w:t>97</w:t>
          </w:r>
          <w:r>
            <w:rPr>
              <w:rFonts w:hint="eastAsia"/>
              <w:color w:val="auto"/>
            </w:rPr>
            <w:fldChar w:fldCharType="end"/>
          </w:r>
          <w:r>
            <w:rPr>
              <w:rFonts w:hint="eastAsia"/>
              <w:color w:val="auto"/>
            </w:rPr>
            <w:fldChar w:fldCharType="end"/>
          </w:r>
        </w:p>
        <w:p w14:paraId="3EED5470">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"_Toc225513354" </w:instrText>
          </w:r>
          <w:r>
            <w:rPr>
              <w:color w:val="auto"/>
            </w:rPr>
            <w:fldChar w:fldCharType="separate"/>
          </w:r>
          <w:r>
            <w:rPr>
              <w:rStyle w:val="36"/>
              <w:rFonts w:hint="eastAsia"/>
              <w:color w:val="auto"/>
            </w:rPr>
            <w:t>二、完善能源输送与保障</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_Toc225513354 \h</w:instrText>
          </w:r>
          <w:r>
            <w:rPr>
              <w:rFonts w:hint="eastAsia"/>
              <w:color w:val="auto"/>
            </w:rPr>
            <w:instrText xml:space="preserve"> </w:instrText>
          </w:r>
          <w:r>
            <w:rPr>
              <w:rFonts w:hint="eastAsia"/>
              <w:color w:val="auto"/>
            </w:rPr>
            <w:fldChar w:fldCharType="separate"/>
          </w:r>
          <w:r>
            <w:rPr>
              <w:color w:val="auto"/>
            </w:rPr>
            <w:t>97</w:t>
          </w:r>
          <w:r>
            <w:rPr>
              <w:rFonts w:hint="eastAsia"/>
              <w:color w:val="auto"/>
            </w:rPr>
            <w:fldChar w:fldCharType="end"/>
          </w:r>
          <w:r>
            <w:rPr>
              <w:rFonts w:hint="eastAsia"/>
              <w:color w:val="auto"/>
            </w:rPr>
            <w:fldChar w:fldCharType="end"/>
          </w:r>
        </w:p>
        <w:p w14:paraId="31CD3178">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"_Toc225513355" </w:instrText>
          </w:r>
          <w:r>
            <w:rPr>
              <w:color w:val="auto"/>
            </w:rPr>
            <w:fldChar w:fldCharType="separate"/>
          </w:r>
          <w:r>
            <w:rPr>
              <w:rStyle w:val="36"/>
              <w:rFonts w:hint="eastAsia"/>
              <w:color w:val="auto"/>
            </w:rPr>
            <w:t>第三章 建立全域协同的水利保障体系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_Toc225513355 \h</w:instrText>
          </w:r>
          <w:r>
            <w:rPr>
              <w:rFonts w:hint="eastAsia"/>
              <w:color w:val="auto"/>
            </w:rPr>
            <w:instrText xml:space="preserve"> </w:instrText>
          </w:r>
          <w:r>
            <w:rPr>
              <w:rFonts w:hint="eastAsia"/>
              <w:color w:val="auto"/>
            </w:rPr>
            <w:fldChar w:fldCharType="separate"/>
          </w:r>
          <w:r>
            <w:rPr>
              <w:color w:val="auto"/>
            </w:rPr>
            <w:t>98</w:t>
          </w:r>
          <w:r>
            <w:rPr>
              <w:rFonts w:hint="eastAsia"/>
              <w:color w:val="auto"/>
            </w:rPr>
            <w:fldChar w:fldCharType="end"/>
          </w:r>
          <w:r>
            <w:rPr>
              <w:rFonts w:hint="eastAsia"/>
              <w:color w:val="auto"/>
            </w:rPr>
            <w:fldChar w:fldCharType="end"/>
          </w:r>
        </w:p>
        <w:p w14:paraId="27EF9ED7">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"_Toc225513356" </w:instrText>
          </w:r>
          <w:r>
            <w:rPr>
              <w:color w:val="auto"/>
            </w:rPr>
            <w:fldChar w:fldCharType="separate"/>
          </w:r>
          <w:r>
            <w:rPr>
              <w:rStyle w:val="36"/>
              <w:rFonts w:hint="eastAsia"/>
              <w:color w:val="auto"/>
            </w:rPr>
            <w:t>一、完善防洪排涝工程体系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_Toc225513356 \h</w:instrText>
          </w:r>
          <w:r>
            <w:rPr>
              <w:rFonts w:hint="eastAsia"/>
              <w:color w:val="auto"/>
            </w:rPr>
            <w:instrText xml:space="preserve"> </w:instrText>
          </w:r>
          <w:r>
            <w:rPr>
              <w:rFonts w:hint="eastAsia"/>
              <w:color w:val="auto"/>
            </w:rPr>
            <w:fldChar w:fldCharType="separate"/>
          </w:r>
          <w:r>
            <w:rPr>
              <w:color w:val="auto"/>
            </w:rPr>
            <w:t>98</w:t>
          </w:r>
          <w:r>
            <w:rPr>
              <w:rFonts w:hint="eastAsia"/>
              <w:color w:val="auto"/>
            </w:rPr>
            <w:fldChar w:fldCharType="end"/>
          </w:r>
          <w:r>
            <w:rPr>
              <w:rFonts w:hint="eastAsia"/>
              <w:color w:val="auto"/>
            </w:rPr>
            <w:fldChar w:fldCharType="end"/>
          </w:r>
        </w:p>
        <w:p w14:paraId="2EAD5435">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"_Toc225513357" </w:instrText>
          </w:r>
          <w:r>
            <w:rPr>
              <w:color w:val="auto"/>
            </w:rPr>
            <w:fldChar w:fldCharType="separate"/>
          </w:r>
          <w:r>
            <w:rPr>
              <w:rStyle w:val="36"/>
              <w:rFonts w:hint="eastAsia"/>
              <w:color w:val="auto"/>
            </w:rPr>
            <w:t>二、优化水资源配置网络</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_Toc225513357 \h</w:instrText>
          </w:r>
          <w:r>
            <w:rPr>
              <w:rFonts w:hint="eastAsia"/>
              <w:color w:val="auto"/>
            </w:rPr>
            <w:instrText xml:space="preserve"> </w:instrText>
          </w:r>
          <w:r>
            <w:rPr>
              <w:rFonts w:hint="eastAsia"/>
              <w:color w:val="auto"/>
            </w:rPr>
            <w:fldChar w:fldCharType="separate"/>
          </w:r>
          <w:r>
            <w:rPr>
              <w:color w:val="auto"/>
            </w:rPr>
            <w:t>98</w:t>
          </w:r>
          <w:r>
            <w:rPr>
              <w:rFonts w:hint="eastAsia"/>
              <w:color w:val="auto"/>
            </w:rPr>
            <w:fldChar w:fldCharType="end"/>
          </w:r>
          <w:r>
            <w:rPr>
              <w:rFonts w:hint="eastAsia"/>
              <w:color w:val="auto"/>
            </w:rPr>
            <w:fldChar w:fldCharType="end"/>
          </w:r>
        </w:p>
        <w:p w14:paraId="4A842E46">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"_Toc225513358" </w:instrText>
          </w:r>
          <w:r>
            <w:rPr>
              <w:color w:val="auto"/>
            </w:rPr>
            <w:fldChar w:fldCharType="separate"/>
          </w:r>
          <w:r>
            <w:rPr>
              <w:rStyle w:val="36"/>
              <w:rFonts w:hint="eastAsia"/>
              <w:color w:val="auto"/>
            </w:rPr>
            <w:t>第四章 构筑高速智能的通信保障体系</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_Toc225513358 \h</w:instrText>
          </w:r>
          <w:r>
            <w:rPr>
              <w:rFonts w:hint="eastAsia"/>
              <w:color w:val="auto"/>
            </w:rPr>
            <w:instrText xml:space="preserve"> </w:instrText>
          </w:r>
          <w:r>
            <w:rPr>
              <w:rFonts w:hint="eastAsia"/>
              <w:color w:val="auto"/>
            </w:rPr>
            <w:fldChar w:fldCharType="separate"/>
          </w:r>
          <w:r>
            <w:rPr>
              <w:color w:val="auto"/>
            </w:rPr>
            <w:t>99</w:t>
          </w:r>
          <w:r>
            <w:rPr>
              <w:rFonts w:hint="eastAsia"/>
              <w:color w:val="auto"/>
            </w:rPr>
            <w:fldChar w:fldCharType="end"/>
          </w:r>
          <w:r>
            <w:rPr>
              <w:rFonts w:hint="eastAsia"/>
              <w:color w:val="auto"/>
            </w:rPr>
            <w:fldChar w:fldCharType="end"/>
          </w:r>
        </w:p>
        <w:p w14:paraId="4BF01609">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"_Toc225513359" </w:instrText>
          </w:r>
          <w:r>
            <w:rPr>
              <w:color w:val="auto"/>
            </w:rPr>
            <w:fldChar w:fldCharType="separate"/>
          </w:r>
          <w:r>
            <w:rPr>
              <w:rStyle w:val="36"/>
              <w:rFonts w:hint="eastAsia"/>
              <w:color w:val="auto"/>
            </w:rPr>
            <w:t>一、优化通信网络覆盖格局</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_Toc225513359 \h</w:instrText>
          </w:r>
          <w:r>
            <w:rPr>
              <w:rFonts w:hint="eastAsia"/>
              <w:color w:val="auto"/>
            </w:rPr>
            <w:instrText xml:space="preserve"> </w:instrText>
          </w:r>
          <w:r>
            <w:rPr>
              <w:rFonts w:hint="eastAsia"/>
              <w:color w:val="auto"/>
            </w:rPr>
            <w:fldChar w:fldCharType="separate"/>
          </w:r>
          <w:r>
            <w:rPr>
              <w:color w:val="auto"/>
            </w:rPr>
            <w:t>99</w:t>
          </w:r>
          <w:r>
            <w:rPr>
              <w:rFonts w:hint="eastAsia"/>
              <w:color w:val="auto"/>
            </w:rPr>
            <w:fldChar w:fldCharType="end"/>
          </w:r>
          <w:r>
            <w:rPr>
              <w:rFonts w:hint="eastAsia"/>
              <w:color w:val="auto"/>
            </w:rPr>
            <w:fldChar w:fldCharType="end"/>
          </w:r>
        </w:p>
        <w:p w14:paraId="548A329B">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"_Toc225513360" </w:instrText>
          </w:r>
          <w:r>
            <w:rPr>
              <w:color w:val="auto"/>
            </w:rPr>
            <w:fldChar w:fldCharType="separate"/>
          </w:r>
          <w:r>
            <w:rPr>
              <w:rStyle w:val="36"/>
              <w:rFonts w:hint="eastAsia"/>
              <w:color w:val="auto"/>
            </w:rPr>
            <w:t>二、强化数字基础设施支撑</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_Toc225513360 \h</w:instrText>
          </w:r>
          <w:r>
            <w:rPr>
              <w:rFonts w:hint="eastAsia"/>
              <w:color w:val="auto"/>
            </w:rPr>
            <w:instrText xml:space="preserve"> </w:instrText>
          </w:r>
          <w:r>
            <w:rPr>
              <w:rFonts w:hint="eastAsia"/>
              <w:color w:val="auto"/>
            </w:rPr>
            <w:fldChar w:fldCharType="separate"/>
          </w:r>
          <w:r>
            <w:rPr>
              <w:color w:val="auto"/>
            </w:rPr>
            <w:t>99</w:t>
          </w:r>
          <w:r>
            <w:rPr>
              <w:rFonts w:hint="eastAsia"/>
              <w:color w:val="auto"/>
            </w:rPr>
            <w:fldChar w:fldCharType="end"/>
          </w:r>
          <w:r>
            <w:rPr>
              <w:rFonts w:hint="eastAsia"/>
              <w:color w:val="auto"/>
            </w:rPr>
            <w:fldChar w:fldCharType="end"/>
          </w:r>
        </w:p>
        <w:p w14:paraId="54C44E4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"_Toc225513361" </w:instrText>
          </w:r>
          <w:r>
            <w:rPr>
              <w:color w:val="auto"/>
            </w:rPr>
            <w:fldChar w:fldCharType="separate"/>
          </w:r>
          <w:r>
            <w:rPr>
              <w:rStyle w:val="36"/>
              <w:rFonts w:hint="eastAsia"/>
              <w:color w:val="auto"/>
            </w:rPr>
            <w:t>三、健全通信发展保障机制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_Toc225513361 \h</w:instrText>
          </w:r>
          <w:r>
            <w:rPr>
              <w:rFonts w:hint="eastAsia"/>
              <w:color w:val="auto"/>
            </w:rPr>
            <w:instrText xml:space="preserve"> </w:instrText>
          </w:r>
          <w:r>
            <w:rPr>
              <w:rFonts w:hint="eastAsia"/>
              <w:color w:val="auto"/>
            </w:rPr>
            <w:fldChar w:fldCharType="separate"/>
          </w:r>
          <w:r>
            <w:rPr>
              <w:color w:val="auto"/>
            </w:rPr>
            <w:t>99</w:t>
          </w:r>
          <w:r>
            <w:rPr>
              <w:rFonts w:hint="eastAsia"/>
              <w:color w:val="auto"/>
            </w:rPr>
            <w:fldChar w:fldCharType="end"/>
          </w:r>
          <w:r>
            <w:rPr>
              <w:rFonts w:hint="eastAsia"/>
              <w:color w:val="auto"/>
            </w:rPr>
            <w:fldChar w:fldCharType="end"/>
          </w:r>
        </w:p>
        <w:p w14:paraId="09FB0DAD">
          <w:pPr>
            <w:pStyle w:val="21"/>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bCs w:val="0"/>
              <w:caps w:val="0"/>
              <w:color w:val="auto"/>
              <w:sz w:val="22"/>
              <w:szCs w:val="24"/>
              <w14:ligatures w14:val="standardContextual"/>
            </w:rPr>
          </w:pPr>
          <w:r>
            <w:rPr>
              <w:color w:val="auto"/>
            </w:rPr>
            <w:fldChar w:fldCharType="begin"/>
          </w:r>
          <w:r>
            <w:rPr>
              <w:color w:val="auto"/>
            </w:rPr>
            <w:instrText xml:space="preserve"> HYPERLINK \l "_Toc225513362" </w:instrText>
          </w:r>
          <w:r>
            <w:rPr>
              <w:color w:val="auto"/>
            </w:rPr>
            <w:fldChar w:fldCharType="separate"/>
          </w:r>
          <w:r>
            <w:rPr>
              <w:rStyle w:val="36"/>
              <w:rFonts w:hint="eastAsia"/>
              <w:color w:val="auto"/>
            </w:rPr>
            <w:t>第十二篇 加强党的领导，为规划有效实施聚合力</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_Toc225513362 \h</w:instrText>
          </w:r>
          <w:r>
            <w:rPr>
              <w:rFonts w:hint="eastAsia"/>
              <w:color w:val="auto"/>
            </w:rPr>
            <w:instrText xml:space="preserve"> </w:instrText>
          </w:r>
          <w:r>
            <w:rPr>
              <w:rFonts w:hint="eastAsia"/>
              <w:color w:val="auto"/>
            </w:rPr>
            <w:fldChar w:fldCharType="separate"/>
          </w:r>
          <w:r>
            <w:rPr>
              <w:color w:val="auto"/>
            </w:rPr>
            <w:t>101</w:t>
          </w:r>
          <w:r>
            <w:rPr>
              <w:rFonts w:hint="eastAsia"/>
              <w:color w:val="auto"/>
            </w:rPr>
            <w:fldChar w:fldCharType="end"/>
          </w:r>
          <w:r>
            <w:rPr>
              <w:rFonts w:hint="eastAsia"/>
              <w:color w:val="auto"/>
            </w:rPr>
            <w:fldChar w:fldCharType="end"/>
          </w:r>
        </w:p>
        <w:p w14:paraId="7F485533">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"_Toc225513363" </w:instrText>
          </w:r>
          <w:r>
            <w:rPr>
              <w:color w:val="auto"/>
            </w:rPr>
            <w:fldChar w:fldCharType="separate"/>
          </w:r>
          <w:r>
            <w:rPr>
              <w:rStyle w:val="36"/>
              <w:rFonts w:hint="eastAsia"/>
              <w:color w:val="auto"/>
            </w:rPr>
            <w:t>第一章 加强党的全面领导</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_Toc225513363 \h</w:instrText>
          </w:r>
          <w:r>
            <w:rPr>
              <w:rFonts w:hint="eastAsia"/>
              <w:color w:val="auto"/>
            </w:rPr>
            <w:instrText xml:space="preserve"> </w:instrText>
          </w:r>
          <w:r>
            <w:rPr>
              <w:rFonts w:hint="eastAsia"/>
              <w:color w:val="auto"/>
            </w:rPr>
            <w:fldChar w:fldCharType="separate"/>
          </w:r>
          <w:r>
            <w:rPr>
              <w:color w:val="auto"/>
            </w:rPr>
            <w:t>101</w:t>
          </w:r>
          <w:r>
            <w:rPr>
              <w:rFonts w:hint="eastAsia"/>
              <w:color w:val="auto"/>
            </w:rPr>
            <w:fldChar w:fldCharType="end"/>
          </w:r>
          <w:r>
            <w:rPr>
              <w:rFonts w:hint="eastAsia"/>
              <w:color w:val="auto"/>
            </w:rPr>
            <w:fldChar w:fldCharType="end"/>
          </w:r>
        </w:p>
        <w:p w14:paraId="14F97DF1">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"_Toc225513364" </w:instrText>
          </w:r>
          <w:r>
            <w:rPr>
              <w:color w:val="auto"/>
            </w:rPr>
            <w:fldChar w:fldCharType="separate"/>
          </w:r>
          <w:r>
            <w:rPr>
              <w:rStyle w:val="36"/>
              <w:rFonts w:hint="eastAsia"/>
              <w:color w:val="auto"/>
            </w:rPr>
            <w:t>第二章 加强民主法治建设</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_Toc225513364 \h</w:instrText>
          </w:r>
          <w:r>
            <w:rPr>
              <w:rFonts w:hint="eastAsia"/>
              <w:color w:val="auto"/>
            </w:rPr>
            <w:instrText xml:space="preserve"> </w:instrText>
          </w:r>
          <w:r>
            <w:rPr>
              <w:rFonts w:hint="eastAsia"/>
              <w:color w:val="auto"/>
            </w:rPr>
            <w:fldChar w:fldCharType="separate"/>
          </w:r>
          <w:r>
            <w:rPr>
              <w:color w:val="auto"/>
            </w:rPr>
            <w:t>101</w:t>
          </w:r>
          <w:r>
            <w:rPr>
              <w:rFonts w:hint="eastAsia"/>
              <w:color w:val="auto"/>
            </w:rPr>
            <w:fldChar w:fldCharType="end"/>
          </w:r>
          <w:r>
            <w:rPr>
              <w:rFonts w:hint="eastAsia"/>
              <w:color w:val="auto"/>
            </w:rPr>
            <w:fldChar w:fldCharType="end"/>
          </w:r>
        </w:p>
        <w:p w14:paraId="42613621">
          <w:pPr>
            <w:pStyle w:val="27"/>
            <w:keepNext w:val="0"/>
            <w:keepLines w:val="0"/>
            <w:pageBreakBefore w:val="0"/>
            <w:widowControl w:val="0"/>
            <w:kinsoku/>
            <w:wordWrap/>
            <w:overflowPunct/>
            <w:topLinePunct w:val="0"/>
            <w:autoSpaceDE/>
            <w:autoSpaceDN/>
            <w:bidi w:val="0"/>
            <w:adjustRightInd/>
            <w:snapToGrid/>
            <w:spacing w:line="554" w:lineRule="exact"/>
            <w:textAlignment w:val="auto"/>
            <w:rPr>
              <w:rFonts w:hint="eastAsia" w:asciiTheme="minorHAnsi" w:hAnsiTheme="minorHAnsi" w:eastAsiaTheme="minorEastAsia"/>
              <w:b w:val="0"/>
              <w:smallCaps w:val="0"/>
              <w:color w:val="auto"/>
              <w:sz w:val="22"/>
              <w:szCs w:val="24"/>
              <w14:ligatures w14:val="standardContextual"/>
            </w:rPr>
          </w:pPr>
          <w:r>
            <w:rPr>
              <w:color w:val="auto"/>
            </w:rPr>
            <w:fldChar w:fldCharType="begin"/>
          </w:r>
          <w:r>
            <w:rPr>
              <w:color w:val="auto"/>
            </w:rPr>
            <w:instrText xml:space="preserve"> HYPERLINK \l "_Toc225513365" </w:instrText>
          </w:r>
          <w:r>
            <w:rPr>
              <w:color w:val="auto"/>
            </w:rPr>
            <w:fldChar w:fldCharType="separate"/>
          </w:r>
          <w:r>
            <w:rPr>
              <w:rStyle w:val="36"/>
              <w:rFonts w:hint="eastAsia"/>
              <w:color w:val="auto"/>
            </w:rPr>
            <w:t>第三章 健全规划实施机制</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_Toc225513365 \h</w:instrText>
          </w:r>
          <w:r>
            <w:rPr>
              <w:rFonts w:hint="eastAsia"/>
              <w:color w:val="auto"/>
            </w:rPr>
            <w:instrText xml:space="preserve"> </w:instrText>
          </w:r>
          <w:r>
            <w:rPr>
              <w:rFonts w:hint="eastAsia"/>
              <w:color w:val="auto"/>
            </w:rPr>
            <w:fldChar w:fldCharType="separate"/>
          </w:r>
          <w:r>
            <w:rPr>
              <w:color w:val="auto"/>
            </w:rPr>
            <w:t>102</w:t>
          </w:r>
          <w:r>
            <w:rPr>
              <w:rFonts w:hint="eastAsia"/>
              <w:color w:val="auto"/>
            </w:rPr>
            <w:fldChar w:fldCharType="end"/>
          </w:r>
          <w:r>
            <w:rPr>
              <w:rFonts w:hint="eastAsia"/>
              <w:color w:val="auto"/>
            </w:rPr>
            <w:fldChar w:fldCharType="end"/>
          </w:r>
        </w:p>
        <w:p w14:paraId="266676F1">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"_Toc225513366" </w:instrText>
          </w:r>
          <w:r>
            <w:rPr>
              <w:color w:val="auto"/>
            </w:rPr>
            <w:fldChar w:fldCharType="separate"/>
          </w:r>
          <w:r>
            <w:rPr>
              <w:rStyle w:val="36"/>
              <w:rFonts w:hint="eastAsia"/>
              <w:color w:val="auto"/>
            </w:rPr>
            <w:t>一、强化规划衔接协调</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_Toc225513366 \h</w:instrText>
          </w:r>
          <w:r>
            <w:rPr>
              <w:rFonts w:hint="eastAsia"/>
              <w:color w:val="auto"/>
            </w:rPr>
            <w:instrText xml:space="preserve"> </w:instrText>
          </w:r>
          <w:r>
            <w:rPr>
              <w:rFonts w:hint="eastAsia"/>
              <w:color w:val="auto"/>
            </w:rPr>
            <w:fldChar w:fldCharType="separate"/>
          </w:r>
          <w:r>
            <w:rPr>
              <w:color w:val="auto"/>
            </w:rPr>
            <w:t>102</w:t>
          </w:r>
          <w:r>
            <w:rPr>
              <w:rFonts w:hint="eastAsia"/>
              <w:color w:val="auto"/>
            </w:rPr>
            <w:fldChar w:fldCharType="end"/>
          </w:r>
          <w:r>
            <w:rPr>
              <w:rFonts w:hint="eastAsia"/>
              <w:color w:val="auto"/>
            </w:rPr>
            <w:fldChar w:fldCharType="end"/>
          </w:r>
        </w:p>
        <w:p w14:paraId="43EDC50E">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"_Toc225513367" </w:instrText>
          </w:r>
          <w:r>
            <w:rPr>
              <w:color w:val="auto"/>
            </w:rPr>
            <w:fldChar w:fldCharType="separate"/>
          </w:r>
          <w:r>
            <w:rPr>
              <w:rStyle w:val="36"/>
              <w:rFonts w:hint="eastAsia"/>
              <w:color w:val="auto"/>
            </w:rPr>
            <w:t>二、完善监测评估与动态调整</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_Toc225513367 \h</w:instrText>
          </w:r>
          <w:r>
            <w:rPr>
              <w:rFonts w:hint="eastAsia"/>
              <w:color w:val="auto"/>
            </w:rPr>
            <w:instrText xml:space="preserve"> </w:instrText>
          </w:r>
          <w:r>
            <w:rPr>
              <w:rFonts w:hint="eastAsia"/>
              <w:color w:val="auto"/>
            </w:rPr>
            <w:fldChar w:fldCharType="separate"/>
          </w:r>
          <w:r>
            <w:rPr>
              <w:color w:val="auto"/>
            </w:rPr>
            <w:t>103</w:t>
          </w:r>
          <w:r>
            <w:rPr>
              <w:rFonts w:hint="eastAsia"/>
              <w:color w:val="auto"/>
            </w:rPr>
            <w:fldChar w:fldCharType="end"/>
          </w:r>
          <w:r>
            <w:rPr>
              <w:rFonts w:hint="eastAsia"/>
              <w:color w:val="auto"/>
            </w:rPr>
            <w:fldChar w:fldCharType="end"/>
          </w:r>
        </w:p>
        <w:p w14:paraId="13AD8B32">
          <w:pPr>
            <w:pStyle w:val="16"/>
            <w:keepNext w:val="0"/>
            <w:keepLines w:val="0"/>
            <w:pageBreakBefore w:val="0"/>
            <w:widowControl w:val="0"/>
            <w:tabs>
              <w:tab w:val="right" w:leader="dot" w:pos="8296"/>
            </w:tabs>
            <w:kinsoku/>
            <w:wordWrap/>
            <w:overflowPunct/>
            <w:topLinePunct w:val="0"/>
            <w:autoSpaceDE/>
            <w:autoSpaceDN/>
            <w:bidi w:val="0"/>
            <w:adjustRightInd/>
            <w:snapToGrid/>
            <w:spacing w:line="554" w:lineRule="exact"/>
            <w:textAlignment w:val="auto"/>
            <w:rPr>
              <w:rFonts w:hint="eastAsia" w:eastAsiaTheme="minorEastAsia"/>
              <w:iCs w:val="0"/>
              <w:color w:val="auto"/>
              <w:sz w:val="22"/>
              <w:szCs w:val="24"/>
              <w14:ligatures w14:val="standardContextual"/>
            </w:rPr>
          </w:pPr>
          <w:r>
            <w:rPr>
              <w:color w:val="auto"/>
            </w:rPr>
            <w:fldChar w:fldCharType="begin"/>
          </w:r>
          <w:r>
            <w:rPr>
              <w:color w:val="auto"/>
            </w:rPr>
            <w:instrText xml:space="preserve"> HYPERLINK \l "_Toc225513368" </w:instrText>
          </w:r>
          <w:r>
            <w:rPr>
              <w:color w:val="auto"/>
            </w:rPr>
            <w:fldChar w:fldCharType="separate"/>
          </w:r>
          <w:r>
            <w:rPr>
              <w:rStyle w:val="36"/>
              <w:rFonts w:hint="eastAsia"/>
              <w:color w:val="auto"/>
            </w:rPr>
            <w:t>三、强化社会协同参与</w:t>
          </w:r>
          <w:r>
            <w:rPr>
              <w:rFonts w:hint="eastAsia"/>
              <w:color w:val="auto"/>
            </w:rPr>
            <w:tab/>
          </w:r>
          <w:r>
            <w:rPr>
              <w:rFonts w:hint="eastAsia"/>
              <w:color w:val="auto"/>
            </w:rPr>
            <w:fldChar w:fldCharType="begin"/>
          </w:r>
          <w:r>
            <w:rPr>
              <w:rFonts w:hint="eastAsia"/>
              <w:color w:val="auto"/>
            </w:rPr>
            <w:instrText xml:space="preserve"> </w:instrText>
          </w:r>
          <w:r>
            <w:rPr>
              <w:color w:val="auto"/>
            </w:rPr>
            <w:instrText xml:space="preserve">PAGEREF _Toc225513368 \h</w:instrText>
          </w:r>
          <w:r>
            <w:rPr>
              <w:rFonts w:hint="eastAsia"/>
              <w:color w:val="auto"/>
            </w:rPr>
            <w:instrText xml:space="preserve"> </w:instrText>
          </w:r>
          <w:r>
            <w:rPr>
              <w:rFonts w:hint="eastAsia"/>
              <w:color w:val="auto"/>
            </w:rPr>
            <w:fldChar w:fldCharType="separate"/>
          </w:r>
          <w:r>
            <w:rPr>
              <w:color w:val="auto"/>
            </w:rPr>
            <w:t>103</w:t>
          </w:r>
          <w:r>
            <w:rPr>
              <w:rFonts w:hint="eastAsia"/>
              <w:color w:val="auto"/>
            </w:rPr>
            <w:fldChar w:fldCharType="end"/>
          </w:r>
          <w:r>
            <w:rPr>
              <w:rFonts w:hint="eastAsia"/>
              <w:color w:val="auto"/>
            </w:rPr>
            <w:fldChar w:fldCharType="end"/>
          </w:r>
        </w:p>
        <w:p w14:paraId="6EF72FE7">
          <w:pPr>
            <w:spacing w:line="240" w:lineRule="auto"/>
            <w:ind w:firstLine="0" w:firstLineChars="0"/>
            <w:rPr>
              <w:rFonts w:hint="eastAsia"/>
              <w:color w:val="auto"/>
            </w:rPr>
          </w:pPr>
          <w:r>
            <w:rPr>
              <w:rFonts w:hint="eastAsia" w:ascii="黑体" w:hAnsi="黑体" w:eastAsia="黑体"/>
              <w:color w:val="auto"/>
              <w:sz w:val="30"/>
              <w:szCs w:val="32"/>
            </w:rPr>
            <w:fldChar w:fldCharType="end"/>
          </w:r>
        </w:p>
      </w:sdtContent>
    </w:sdt>
    <w:bookmarkEnd w:id="8"/>
    <w:bookmarkEnd w:id="9"/>
    <w:bookmarkEnd w:id="10"/>
    <w:bookmarkEnd w:id="11"/>
    <w:bookmarkEnd w:id="12"/>
    <w:bookmarkEnd w:id="13"/>
    <w:bookmarkEnd w:id="14"/>
    <w:p w14:paraId="1BF5A97B">
      <w:pPr>
        <w:widowControl/>
        <w:spacing w:line="278" w:lineRule="auto"/>
        <w:ind w:firstLine="0" w:firstLineChars="0"/>
        <w:jc w:val="left"/>
        <w:rPr>
          <w:rFonts w:ascii="Times New Roman" w:hAnsi="Times New Roman" w:cs="Times New Roman"/>
          <w:color w:val="auto"/>
        </w:rPr>
      </w:pPr>
      <w:bookmarkStart w:id="15" w:name="_Toc211251907"/>
      <w:bookmarkStart w:id="16" w:name="_Toc217984219"/>
      <w:bookmarkStart w:id="17" w:name="_Toc216989009"/>
      <w:r>
        <w:rPr>
          <w:rFonts w:ascii="Times New Roman" w:hAnsi="Times New Roman" w:cs="Times New Roman"/>
          <w:color w:val="auto"/>
        </w:rPr>
        <w:br w:type="page"/>
      </w:r>
    </w:p>
    <w:p w14:paraId="3A739133">
      <w:pPr>
        <w:spacing w:before="156" w:beforeLines="50" w:line="560" w:lineRule="exact"/>
        <w:ind w:firstLine="640"/>
        <w:rPr>
          <w:rFonts w:ascii="Times New Roman" w:hAnsi="Times New Roman" w:cs="Times New Roman"/>
          <w:color w:val="auto"/>
        </w:rPr>
      </w:pPr>
    </w:p>
    <w:p w14:paraId="7E96303C">
      <w:pPr>
        <w:keepNext w:val="0"/>
        <w:keepLines w:val="0"/>
        <w:pageBreakBefore w:val="0"/>
        <w:widowControl w:val="0"/>
        <w:kinsoku/>
        <w:wordWrap/>
        <w:overflowPunct/>
        <w:topLinePunct w:val="0"/>
        <w:autoSpaceDE/>
        <w:autoSpaceDN/>
        <w:bidi w:val="0"/>
        <w:adjustRightInd/>
        <w:snapToGrid/>
        <w:spacing w:before="156" w:beforeLines="50" w:line="580" w:lineRule="exact"/>
        <w:ind w:firstLine="640"/>
        <w:textAlignment w:val="auto"/>
        <w:rPr>
          <w:rFonts w:hint="eastAsia"/>
          <w:color w:val="auto"/>
        </w:rPr>
      </w:pPr>
      <w:r>
        <w:rPr>
          <w:rFonts w:hint="eastAsia" w:ascii="Times New Roman" w:hAnsi="Times New Roman" w:cs="Times New Roman"/>
          <w:color w:val="auto"/>
        </w:rPr>
        <w:t>平山县</w:t>
      </w:r>
      <w:r>
        <w:rPr>
          <w:rFonts w:ascii="Times New Roman" w:hAnsi="Times New Roman" w:cs="Times New Roman"/>
          <w:color w:val="auto"/>
        </w:rPr>
        <w:t>国民经济和社会发展第十五个五年规划纲要，依据《中共</w:t>
      </w:r>
      <w:r>
        <w:rPr>
          <w:rFonts w:hint="eastAsia" w:ascii="Times New Roman" w:hAnsi="Times New Roman" w:cs="Times New Roman"/>
          <w:color w:val="auto"/>
        </w:rPr>
        <w:t>平山县委</w:t>
      </w:r>
      <w:r>
        <w:rPr>
          <w:rFonts w:ascii="Times New Roman" w:hAnsi="Times New Roman" w:cs="Times New Roman"/>
          <w:color w:val="auto"/>
        </w:rPr>
        <w:t>关于制定国民经济和社会发展第十五个五年规划的建议》编制，主要阐明全</w:t>
      </w:r>
      <w:r>
        <w:rPr>
          <w:rFonts w:hint="eastAsia" w:ascii="Times New Roman" w:hAnsi="Times New Roman" w:cs="Times New Roman"/>
          <w:color w:val="auto"/>
        </w:rPr>
        <w:t>县</w:t>
      </w:r>
      <w:r>
        <w:rPr>
          <w:rFonts w:ascii="Times New Roman" w:hAnsi="Times New Roman" w:cs="Times New Roman"/>
          <w:color w:val="auto"/>
        </w:rPr>
        <w:t>发展战略，明确政府工作重点，引导和规范经营主体行为，是新时代新征程加快</w:t>
      </w:r>
      <w:r>
        <w:rPr>
          <w:rFonts w:hint="eastAsia"/>
          <w:color w:val="auto"/>
        </w:rPr>
        <w:t>建设产业振兴、生态宜居、和谐安定、充满活力的新平山，奋力谱写新时代平山高质量发展的宏伟蓝图，</w:t>
      </w:r>
      <w:r>
        <w:rPr>
          <w:rFonts w:ascii="Times New Roman" w:hAnsi="Times New Roman" w:cs="Times New Roman"/>
          <w:color w:val="auto"/>
        </w:rPr>
        <w:t>是全</w:t>
      </w:r>
      <w:r>
        <w:rPr>
          <w:rFonts w:hint="eastAsia" w:ascii="Times New Roman" w:hAnsi="Times New Roman" w:cs="Times New Roman"/>
          <w:color w:val="auto"/>
        </w:rPr>
        <w:t>县</w:t>
      </w:r>
      <w:r>
        <w:rPr>
          <w:rFonts w:ascii="Times New Roman" w:hAnsi="Times New Roman" w:cs="Times New Roman"/>
          <w:color w:val="auto"/>
        </w:rPr>
        <w:t>人民共同的行动纲领。规划期为2026</w:t>
      </w:r>
      <w:r>
        <w:rPr>
          <w:rFonts w:hint="eastAsia" w:ascii="Times New Roman" w:hAnsi="Times New Roman" w:cs="Times New Roman"/>
          <w:color w:val="auto"/>
        </w:rPr>
        <w:t>—</w:t>
      </w:r>
      <w:r>
        <w:rPr>
          <w:rFonts w:ascii="Times New Roman" w:hAnsi="Times New Roman" w:cs="Times New Roman"/>
          <w:color w:val="auto"/>
        </w:rPr>
        <w:t>2030年。</w:t>
      </w:r>
    </w:p>
    <w:p w14:paraId="62C55E6A">
      <w:pPr>
        <w:widowControl/>
        <w:spacing w:line="240" w:lineRule="auto"/>
        <w:ind w:firstLine="0" w:firstLineChars="0"/>
        <w:jc w:val="left"/>
        <w:rPr>
          <w:rFonts w:hint="eastAsia" w:eastAsia="黑体"/>
          <w:b/>
          <w:bCs/>
          <w:color w:val="auto"/>
          <w:kern w:val="44"/>
          <w:szCs w:val="44"/>
        </w:rPr>
      </w:pPr>
    </w:p>
    <w:p w14:paraId="48C3E2A5">
      <w:pPr>
        <w:widowControl/>
        <w:spacing w:line="278" w:lineRule="auto"/>
        <w:ind w:firstLine="0" w:firstLineChars="0"/>
        <w:jc w:val="left"/>
        <w:rPr>
          <w:rFonts w:hint="eastAsia" w:eastAsia="黑体"/>
          <w:b/>
          <w:bCs/>
          <w:color w:val="auto"/>
          <w:kern w:val="44"/>
          <w:szCs w:val="44"/>
        </w:rPr>
      </w:pPr>
      <w:r>
        <w:rPr>
          <w:rFonts w:hint="eastAsia"/>
          <w:color w:val="auto"/>
        </w:rPr>
        <w:br w:type="page"/>
      </w:r>
    </w:p>
    <w:p w14:paraId="1DDAC17D">
      <w:pPr>
        <w:pStyle w:val="2"/>
        <w:ind w:firstLine="643"/>
        <w:rPr>
          <w:rFonts w:hint="eastAsia"/>
          <w:color w:val="auto"/>
        </w:rPr>
      </w:pPr>
      <w:bookmarkStart w:id="18" w:name="_Toc225513172"/>
      <w:r>
        <w:rPr>
          <w:rFonts w:hint="eastAsia"/>
          <w:color w:val="auto"/>
        </w:rPr>
        <w:t>第一篇 回首成就固初心，开启平山建设新</w:t>
      </w:r>
      <w:bookmarkEnd w:id="15"/>
      <w:r>
        <w:rPr>
          <w:rFonts w:hint="eastAsia"/>
          <w:color w:val="auto"/>
        </w:rPr>
        <w:t>篇章</w:t>
      </w:r>
      <w:bookmarkEnd w:id="16"/>
      <w:bookmarkEnd w:id="17"/>
      <w:bookmarkEnd w:id="18"/>
    </w:p>
    <w:p w14:paraId="6C3DA150">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color w:val="auto"/>
          <w:szCs w:val="32"/>
        </w:rPr>
        <w:t>“十三五”至“十四五”时期的奋斗实践，为平山发展积累了宝贵经验、奠定坚实基础。踏上“十五五”时期新征程，平山县立足革命老区基础，落实</w:t>
      </w:r>
      <w:r>
        <w:rPr>
          <w:rFonts w:hint="eastAsia" w:ascii="仿宋_GB2312" w:hAnsi="仿宋"/>
          <w:color w:val="auto"/>
        </w:rPr>
        <w:t>党的二十届四中全会“接续推进中国式现代化”战略部署，</w:t>
      </w:r>
      <w:r>
        <w:rPr>
          <w:rFonts w:hint="eastAsia" w:ascii="仿宋_GB2312" w:hAnsi="仿宋"/>
          <w:color w:val="auto"/>
          <w:szCs w:val="32"/>
        </w:rPr>
        <w:t>紧扣高质量跨越式发展目标，锚定“加快建设产业振兴、生态宜居、和谐安定、充满活力的新平山”谋篇布局，奋力开启现代化建设新征程。</w:t>
      </w:r>
    </w:p>
    <w:p w14:paraId="13627027">
      <w:pPr>
        <w:pStyle w:val="3"/>
        <w:ind w:firstLine="640"/>
        <w:rPr>
          <w:rFonts w:hint="eastAsia" w:ascii="楷体_GB2312" w:hAnsi="楷体_GB2312" w:cs="楷体_GB2312"/>
          <w:color w:val="auto"/>
        </w:rPr>
      </w:pPr>
      <w:bookmarkStart w:id="19" w:name="_Toc211251908"/>
      <w:bookmarkStart w:id="20" w:name="_Toc216989010"/>
      <w:bookmarkStart w:id="21" w:name="_Toc217984220"/>
      <w:bookmarkStart w:id="22" w:name="_Toc225513173"/>
      <w:r>
        <w:rPr>
          <w:rFonts w:hint="eastAsia" w:ascii="楷体_GB2312" w:hAnsi="楷体_GB2312" w:cs="楷体_GB2312"/>
          <w:color w:val="auto"/>
        </w:rPr>
        <w:t>第一章 砥砺前行“十四五”，夯实高质量发展根基</w:t>
      </w:r>
      <w:bookmarkEnd w:id="19"/>
      <w:bookmarkEnd w:id="20"/>
      <w:bookmarkEnd w:id="21"/>
      <w:bookmarkEnd w:id="22"/>
    </w:p>
    <w:p w14:paraId="427545D6">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color w:val="auto"/>
          <w:szCs w:val="32"/>
        </w:rPr>
        <w:t>“十四五”时期是平山县在新时代新征程中攻坚克难、砥砺奋进的五年，也是全县经济社会发展取得历史性成就、发生历史性变化的关键五年。面对复杂多变的国际国内环境、艰巨繁重的改革发展稳定任务，全县上下坚持以习近平新时代中国特色社会主义思想为指导，深入贯彻党的二十大和二十届历次全会精神，全面落实党中央、国务院和省委省政府、市委市政府决策部署，攻坚克难、真抓实干，推动各项事业取得突破性进展。</w:t>
      </w:r>
    </w:p>
    <w:p w14:paraId="2804E907">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b/>
          <w:bCs/>
          <w:color w:val="auto"/>
        </w:rPr>
        <w:t>——经济发展稳中有进，综合实力大幅跃升。</w:t>
      </w:r>
      <w:r>
        <w:rPr>
          <w:rFonts w:hint="eastAsia" w:ascii="仿宋_GB2312" w:hAnsi="仿宋"/>
          <w:color w:val="auto"/>
          <w:szCs w:val="32"/>
        </w:rPr>
        <w:t>“十四五”期间，积极应对世纪疫情、经济下行等因素冲击，实施了160多个亿元以上项目，总投资1300亿元。地区生产总值突破350亿元，年均增长6.6%；人均GDP从5.4万元增长到8万元以上；城乡居民人均可支配收入分别达到45041元、17088元，较“十三五”末分别提高32%、52%。平山先后4次在省市综合考核和经济发展绩效专项考核中排名同类县第一。西柏坡经济开发区营业收入年均增长15%，超3000亿元，连续3年位居全市省级开发区首位。</w:t>
      </w:r>
    </w:p>
    <w:p w14:paraId="5F6C738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olor w:val="auto"/>
          <w:szCs w:val="32"/>
        </w:rPr>
      </w:pPr>
      <w:r>
        <w:rPr>
          <w:rFonts w:hint="eastAsia" w:ascii="仿宋_GB2312"/>
          <w:b/>
          <w:bCs/>
          <w:color w:val="auto"/>
        </w:rPr>
        <w:t>——产业转型步伐坚定，改革创新成果丰硕。</w:t>
      </w:r>
      <w:r>
        <w:rPr>
          <w:rFonts w:hint="eastAsia" w:ascii="仿宋_GB2312" w:hAnsi="仿宋"/>
          <w:color w:val="auto"/>
          <w:szCs w:val="32"/>
        </w:rPr>
        <w:t>钢铁产业持续向特、精、高转型，建成2个省级“共享智造”载体，</w:t>
      </w:r>
      <w:r>
        <w:rPr>
          <w:rFonts w:hint="eastAsia" w:ascii="仿宋_GB2312" w:hAnsi="仿宋_GB2312"/>
          <w:color w:val="auto"/>
          <w:szCs w:val="32"/>
        </w:rPr>
        <w:t>“高端特钢”产量占比从8%上升到45%，</w:t>
      </w:r>
      <w:r>
        <w:rPr>
          <w:rFonts w:hint="eastAsia" w:ascii="仿宋_GB2312" w:hAnsi="仿宋"/>
          <w:color w:val="auto"/>
          <w:szCs w:val="32"/>
        </w:rPr>
        <w:t>敬业集团连续五年跻身世界500强，敬业钢铁入选“国家卓越级智能工厂”名单，</w:t>
      </w:r>
      <w:r>
        <w:rPr>
          <w:rFonts w:hint="eastAsia" w:ascii="仿宋_GB2312" w:hAnsi="仿宋_GB2312" w:cs="仿宋_GB2312"/>
          <w:color w:val="auto"/>
          <w:szCs w:val="32"/>
        </w:rPr>
        <w:t>高品钢新材料县域特色产业集群营业收入稳居全省首位。清洁能源产业加速壮大，</w:t>
      </w:r>
      <w:r>
        <w:rPr>
          <w:rFonts w:hint="eastAsia" w:ascii="仿宋_GB2312" w:hAnsi="仿宋_GB2312"/>
          <w:color w:val="auto"/>
          <w:szCs w:val="32"/>
        </w:rPr>
        <w:t>光伏发电规模接近1000兆瓦，排名全市第三。持续做强创新主体，全县高新技术企业达到25家，较“十三五”末翻了一番，省级科技型中小企业达到1090家，增长209%。平山达到县域科技创新能力A类县标准。</w:t>
      </w:r>
    </w:p>
    <w:p w14:paraId="5E99E966">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b/>
          <w:bCs/>
          <w:color w:val="auto"/>
        </w:rPr>
        <w:t>——乡村振兴扎实推进，“三农”工作开创新局。</w:t>
      </w:r>
      <w:r>
        <w:rPr>
          <w:rFonts w:hint="eastAsia" w:ascii="仿宋_GB2312"/>
          <w:color w:val="auto"/>
        </w:rPr>
        <w:t>持续巩固拓展脱贫攻坚成果，每年在省“后评估”考核中取得“好”的等次。牢牢守住粮食安全底线，建成高标准农田26.8万亩，粮食种植面积稳定在</w:t>
      </w:r>
      <w:r>
        <w:rPr>
          <w:rFonts w:ascii="仿宋_GB2312"/>
          <w:color w:val="auto"/>
        </w:rPr>
        <w:t>35</w:t>
      </w:r>
      <w:r>
        <w:rPr>
          <w:rFonts w:hint="eastAsia" w:ascii="仿宋_GB2312"/>
          <w:color w:val="auto"/>
        </w:rPr>
        <w:t>万亩左右，粮食产量稳定在2.4亿斤以上，肉蛋奶总产量达到7万吨以上，水产品产量达到6600吨。大力发展特色农业产业，</w:t>
      </w:r>
      <w:r>
        <w:rPr>
          <w:rFonts w:hint="eastAsia" w:ascii="仿宋_GB2312" w:hAnsi="仿宋_GB2312"/>
          <w:color w:val="auto"/>
          <w:szCs w:val="32"/>
        </w:rPr>
        <w:t>特色农业种植面积超过13万亩，</w:t>
      </w:r>
      <w:r>
        <w:rPr>
          <w:rFonts w:hint="eastAsia" w:ascii="仿宋_GB2312"/>
          <w:color w:val="auto"/>
        </w:rPr>
        <w:t>培育了“平山优礼”“平山苹果”等11个区域公用品牌，成功打入北京市场。持续整治农村人居环境，改造</w:t>
      </w:r>
      <w:r>
        <w:rPr>
          <w:rFonts w:hint="eastAsia" w:ascii="仿宋_GB2312" w:hAnsi="仿宋_GB2312"/>
          <w:color w:val="auto"/>
          <w:szCs w:val="32"/>
        </w:rPr>
        <w:t>了429千米“四好农村路”，累计建成省级和美乡村181个，其中“十四五”期间建成和美乡村152个</w:t>
      </w:r>
      <w:r>
        <w:rPr>
          <w:rFonts w:hint="eastAsia" w:ascii="仿宋_GB2312" w:hAnsi="仿宋_GB2312"/>
          <w:color w:val="auto"/>
          <w:szCs w:val="32"/>
          <w:lang w:eastAsia="zh-CN"/>
        </w:rPr>
        <w:t>。</w:t>
      </w:r>
      <w:r>
        <w:rPr>
          <w:rFonts w:hint="eastAsia" w:ascii="仿宋_GB2312" w:hAnsi="仿宋_GB2312"/>
          <w:color w:val="auto"/>
          <w:szCs w:val="32"/>
        </w:rPr>
        <w:t>全国农村厕所革命现场会、全国水库移民扶持现场会在平山县召开，中央专项彩票公益金支持的乡村振兴示范区建设经验和北庄村乡村振兴建设经验，入选“国家乡村振兴范例库”</w:t>
      </w:r>
      <w:r>
        <w:rPr>
          <w:rFonts w:hint="eastAsia" w:ascii="仿宋_GB2312" w:hAnsi="仿宋_GB2312"/>
          <w:color w:val="auto"/>
          <w:szCs w:val="32"/>
          <w:lang w:eastAsia="zh-CN"/>
        </w:rPr>
        <w:t>，</w:t>
      </w:r>
      <w:r>
        <w:rPr>
          <w:rFonts w:hint="eastAsia" w:ascii="仿宋_GB2312" w:hAnsi="仿宋_GB2312"/>
          <w:color w:val="auto"/>
          <w:szCs w:val="32"/>
        </w:rPr>
        <w:t>北庄村获评中国美丽休闲乡村。</w:t>
      </w:r>
    </w:p>
    <w:p w14:paraId="519BCD96">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b/>
          <w:bCs/>
          <w:color w:val="auto"/>
        </w:rPr>
        <w:t>——</w:t>
      </w:r>
      <w:r>
        <w:rPr>
          <w:b/>
          <w:bCs/>
          <w:color w:val="auto"/>
        </w:rPr>
        <w:t>文旅融合纵深发展，全域旅游彰显魅力</w:t>
      </w:r>
      <w:r>
        <w:rPr>
          <w:rFonts w:hint="eastAsia"/>
          <w:b/>
          <w:bCs/>
          <w:color w:val="auto"/>
        </w:rPr>
        <w:t>。</w:t>
      </w:r>
      <w:r>
        <w:rPr>
          <w:rFonts w:hint="eastAsia" w:ascii="仿宋_GB2312" w:hAnsi="仿宋_GB2312" w:cs="仿宋_GB2312"/>
          <w:color w:val="auto"/>
          <w:szCs w:val="32"/>
        </w:rPr>
        <w:t>培育了红色教育、太行山水、中山文化、温泉康养4大文旅板块。</w:t>
      </w:r>
      <w:r>
        <w:rPr>
          <w:rFonts w:hint="eastAsia" w:ascii="仿宋_GB2312"/>
          <w:color w:val="auto"/>
        </w:rPr>
        <w:t>驼梁、天桂山、中山国等传统景区完成改造提升，</w:t>
      </w:r>
      <w:r>
        <w:rPr>
          <w:rFonts w:hint="eastAsia" w:ascii="仿宋_GB2312" w:hAnsi="仿宋"/>
          <w:color w:val="auto"/>
          <w:szCs w:val="32"/>
        </w:rPr>
        <w:t>西柏坡“数字革命史馆”、岗南“星火大院”、光禄山风景区、文都河水世界一期等新业态项目陆续建成投用，</w:t>
      </w:r>
      <w:r>
        <w:rPr>
          <w:rFonts w:hint="eastAsia" w:ascii="仿宋_GB2312"/>
          <w:color w:val="auto"/>
        </w:rPr>
        <w:t>平山1号旅游公路串联全域资源，</w:t>
      </w:r>
      <w:r>
        <w:rPr>
          <w:rFonts w:hint="eastAsia" w:ascii="仿宋_GB2312" w:hAnsi="仿宋"/>
          <w:color w:val="auto"/>
          <w:szCs w:val="32"/>
        </w:rPr>
        <w:t>北庄村、李家庄村入选全国乡村旅游重点村，柏里水乡获评全国研学旅行基地，平山</w:t>
      </w:r>
      <w:r>
        <w:rPr>
          <w:rFonts w:hint="eastAsia" w:ascii="仿宋_GB2312" w:hAnsi="仿宋_GB2312" w:cs="仿宋_GB2312"/>
          <w:color w:val="auto"/>
          <w:szCs w:val="32"/>
        </w:rPr>
        <w:t>成功入列首批河北旅游名县。大力推广</w:t>
      </w:r>
      <w:r>
        <w:rPr>
          <w:rFonts w:hint="eastAsia" w:ascii="仿宋_GB2312" w:hAnsi="仿宋"/>
          <w:color w:val="auto"/>
          <w:szCs w:val="32"/>
        </w:rPr>
        <w:t>柏坡腰鼓、中山战鼓、平山大秧歌等传统非遗文化，</w:t>
      </w:r>
      <w:r>
        <w:rPr>
          <w:rFonts w:ascii="仿宋_GB2312" w:hAnsi="仿宋_GB2312"/>
          <w:color w:val="auto"/>
          <w:szCs w:val="32"/>
        </w:rPr>
        <w:t>“平山红”大合唱广受欢迎</w:t>
      </w:r>
      <w:r>
        <w:rPr>
          <w:rFonts w:hint="eastAsia" w:ascii="仿宋_GB2312" w:hAnsi="仿宋_GB2312"/>
          <w:color w:val="auto"/>
          <w:szCs w:val="32"/>
        </w:rPr>
        <w:t>，屡次登上央视，“平山红”系列文化活动经验多次在新华社、人民日报等媒体报道，成为全国精神文明建设典型案例。</w:t>
      </w:r>
    </w:p>
    <w:p w14:paraId="612AE408">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b/>
          <w:bCs/>
          <w:color w:val="auto"/>
        </w:rPr>
        <w:t>——</w:t>
      </w:r>
      <w:r>
        <w:rPr>
          <w:b/>
          <w:bCs/>
          <w:color w:val="auto"/>
        </w:rPr>
        <w:t>生态保护成效显著，绿色底色更加鲜明</w:t>
      </w:r>
      <w:r>
        <w:rPr>
          <w:rFonts w:hint="eastAsia"/>
          <w:b/>
          <w:bCs/>
          <w:color w:val="auto"/>
        </w:rPr>
        <w:t>。</w:t>
      </w:r>
      <w:r>
        <w:rPr>
          <w:rFonts w:hint="eastAsia" w:ascii="仿宋_GB2312" w:hAnsi="仿宋"/>
          <w:color w:val="auto"/>
          <w:szCs w:val="32"/>
        </w:rPr>
        <w:t>单位GDP能耗累计下降</w:t>
      </w:r>
      <w:r>
        <w:rPr>
          <w:rFonts w:ascii="仿宋_GB2312" w:hAnsi="仿宋"/>
          <w:color w:val="auto"/>
          <w:szCs w:val="32"/>
        </w:rPr>
        <w:t>36</w:t>
      </w:r>
      <w:r>
        <w:rPr>
          <w:rFonts w:hint="eastAsia" w:ascii="仿宋_GB2312" w:hAnsi="仿宋"/>
          <w:color w:val="auto"/>
          <w:szCs w:val="32"/>
        </w:rPr>
        <w:t>%，超额完成下降20%的目标。</w:t>
      </w:r>
      <w:r>
        <w:rPr>
          <w:rFonts w:hint="eastAsia" w:ascii="仿宋_GB2312" w:hAnsi="仿宋_GB2312"/>
          <w:color w:val="auto"/>
          <w:szCs w:val="32"/>
        </w:rPr>
        <w:t>五年来空气质量改善了38%，优良天数增加338天，空气质量达到有监测记录以来最好水平</w:t>
      </w:r>
      <w:r>
        <w:rPr>
          <w:rFonts w:hint="eastAsia" w:ascii="仿宋_GB2312" w:hAnsi="仿宋"/>
          <w:color w:val="auto"/>
          <w:szCs w:val="32"/>
        </w:rPr>
        <w:t>。完成岗南、黄壁庄水库水源地保护区优化完善，</w:t>
      </w:r>
      <w:r>
        <w:rPr>
          <w:rFonts w:hint="eastAsia" w:ascii="仿宋_GB2312"/>
          <w:color w:val="auto"/>
        </w:rPr>
        <w:t>再生水利用配置试点工作全国领先，</w:t>
      </w:r>
      <w:r>
        <w:rPr>
          <w:rFonts w:hint="eastAsia" w:ascii="仿宋_GB2312" w:hAnsi="仿宋"/>
          <w:color w:val="auto"/>
          <w:szCs w:val="32"/>
        </w:rPr>
        <w:t>地表水达到或优于Ⅲ类水体比例，连续多年保持100%，冶河、卸甲河获评省级幸福河湖。完成营造林239万亩，林草覆盖率达到70%，</w:t>
      </w:r>
      <w:r>
        <w:rPr>
          <w:rFonts w:hint="eastAsia" w:ascii="仿宋_GB2312" w:hAnsi="仿宋_GB2312" w:cs="仿宋_GB2312"/>
          <w:color w:val="auto"/>
          <w:szCs w:val="32"/>
        </w:rPr>
        <w:t>培育了</w:t>
      </w:r>
      <w:r>
        <w:rPr>
          <w:rFonts w:ascii="仿宋_GB2312" w:hAnsi="仿宋_GB2312" w:cs="仿宋_GB2312"/>
          <w:color w:val="auto"/>
          <w:szCs w:val="32"/>
        </w:rPr>
        <w:t>11</w:t>
      </w:r>
      <w:r>
        <w:rPr>
          <w:rFonts w:hint="eastAsia" w:ascii="仿宋_GB2312" w:hAnsi="仿宋_GB2312" w:cs="仿宋_GB2312"/>
          <w:color w:val="auto"/>
          <w:szCs w:val="32"/>
        </w:rPr>
        <w:t>个省级森林乡村。</w:t>
      </w:r>
      <w:r>
        <w:rPr>
          <w:rFonts w:ascii="仿宋_GB2312" w:hAnsi="仿宋_GB2312" w:cs="仿宋_GB2312"/>
          <w:color w:val="auto"/>
          <w:szCs w:val="32"/>
        </w:rPr>
        <w:t>敬业、西电、中节能成功创建环保绩效A级企业</w:t>
      </w:r>
      <w:r>
        <w:rPr>
          <w:rFonts w:hint="eastAsia" w:ascii="仿宋_GB2312" w:hAnsi="仿宋_GB2312" w:cs="仿宋_GB2312"/>
          <w:color w:val="auto"/>
          <w:szCs w:val="32"/>
        </w:rPr>
        <w:t>，</w:t>
      </w:r>
      <w:r>
        <w:rPr>
          <w:rFonts w:hint="eastAsia" w:ascii="仿宋_GB2312" w:hAnsi="仿宋_GB2312"/>
          <w:color w:val="auto"/>
          <w:szCs w:val="32"/>
        </w:rPr>
        <w:t>7家企业获评市级以上绿色工厂</w:t>
      </w:r>
      <w:r>
        <w:rPr>
          <w:rFonts w:hint="eastAsia" w:ascii="仿宋_GB2312" w:hAnsi="仿宋_GB2312" w:cs="仿宋_GB2312"/>
          <w:color w:val="auto"/>
          <w:szCs w:val="32"/>
        </w:rPr>
        <w:t>，</w:t>
      </w:r>
      <w:r>
        <w:rPr>
          <w:rFonts w:hint="eastAsia" w:ascii="仿宋_GB2312" w:hAnsi="仿宋_GB2312"/>
          <w:color w:val="auto"/>
          <w:szCs w:val="32"/>
        </w:rPr>
        <w:t>成功创建国家生态文明建设示范区</w:t>
      </w:r>
      <w:r>
        <w:rPr>
          <w:rFonts w:hint="eastAsia" w:ascii="仿宋_GB2312"/>
          <w:color w:val="auto"/>
        </w:rPr>
        <w:t>。</w:t>
      </w:r>
    </w:p>
    <w:p w14:paraId="457B005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
          <w:b/>
          <w:bCs/>
          <w:color w:val="auto"/>
          <w:szCs w:val="32"/>
        </w:rPr>
        <w:t>——基础设施日趋完善，县城品质显著提升。</w:t>
      </w:r>
      <w:r>
        <w:rPr>
          <w:rFonts w:hint="eastAsia" w:ascii="仿宋_GB2312" w:hAnsi="仿宋_GB2312" w:cs="仿宋_GB2312"/>
          <w:color w:val="auto"/>
          <w:szCs w:val="32"/>
        </w:rPr>
        <w:t>坚决整治私搭乱建、违章建筑，盘活了7个停滞多年的房地产开发项目。谋划实施了总投资152亿元的125个城建项目。冶河南岸片区建设顺利启动、初具形象。</w:t>
      </w:r>
      <w:r>
        <w:rPr>
          <w:rFonts w:hint="eastAsia" w:ascii="仿宋_GB2312" w:hAnsi="仿宋_GB2312"/>
          <w:color w:val="auto"/>
          <w:szCs w:val="32"/>
        </w:rPr>
        <w:t>完成34个老旧小区和20条主街道雨污分流改造</w:t>
      </w:r>
      <w:r>
        <w:rPr>
          <w:rFonts w:hint="eastAsia" w:ascii="仿宋_GB2312" w:hAnsi="仿宋_GB2312" w:cs="仿宋_GB2312"/>
          <w:color w:val="auto"/>
          <w:szCs w:val="32"/>
        </w:rPr>
        <w:t>。建成了人民公园、桥东地表水厂、桥东便民市场、垃圾焚烧发电厂、桥西污水处理厂等一批公共基础设施。</w:t>
      </w:r>
      <w:r>
        <w:rPr>
          <w:rFonts w:hint="eastAsia" w:ascii="仿宋_GB2312" w:hAnsi="仿宋_GB2312"/>
          <w:color w:val="auto"/>
          <w:szCs w:val="32"/>
        </w:rPr>
        <w:t>新增14个公园游园，</w:t>
      </w:r>
      <w:r>
        <w:rPr>
          <w:rFonts w:hint="eastAsia" w:ascii="仿宋_GB2312" w:hAnsi="仿宋_GB2312" w:cs="仿宋_GB2312"/>
          <w:color w:val="auto"/>
          <w:szCs w:val="32"/>
        </w:rPr>
        <w:t>新增城区绿地面积15.5万平方米。成功创建全国文明城市、省级卫生县城。</w:t>
      </w:r>
    </w:p>
    <w:p w14:paraId="1AC9DA7C">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hAnsi="仿宋"/>
          <w:b/>
          <w:bCs/>
          <w:color w:val="auto"/>
          <w:szCs w:val="32"/>
        </w:rPr>
        <w:t>——民生福祉持续增进，群众生活更加幸福。</w:t>
      </w:r>
      <w:r>
        <w:rPr>
          <w:rFonts w:hint="eastAsia" w:ascii="仿宋_GB2312"/>
          <w:color w:val="auto"/>
        </w:rPr>
        <w:t>财政支出80%以上投入民生领域。</w:t>
      </w:r>
      <w:r>
        <w:rPr>
          <w:rFonts w:hint="eastAsia" w:ascii="仿宋_GB2312" w:hAnsi="仿宋_GB2312"/>
          <w:color w:val="auto"/>
          <w:szCs w:val="32"/>
        </w:rPr>
        <w:t>累计新增城镇就业2.2万人。新改建中小学、幼儿园107所，</w:t>
      </w:r>
      <w:r>
        <w:rPr>
          <w:rFonts w:hint="eastAsia" w:ascii="仿宋_GB2312"/>
          <w:color w:val="auto"/>
        </w:rPr>
        <w:t>新增学位5350个，办学条件显著提升，教育教学质量稳居全市前列。</w:t>
      </w:r>
      <w:r>
        <w:rPr>
          <w:rFonts w:hint="eastAsia" w:ascii="仿宋_GB2312" w:hAnsi="仿宋_GB2312"/>
          <w:color w:val="auto"/>
          <w:szCs w:val="32"/>
        </w:rPr>
        <w:t>成功引进河北工业职业技术大学、石家庄农林职业学院，填补了平山没有高等院校的空白。</w:t>
      </w:r>
      <w:r>
        <w:rPr>
          <w:rFonts w:hint="eastAsia" w:ascii="仿宋_GB2312" w:hAnsi="仿宋_GB2312" w:cs="仿宋_GB2312"/>
          <w:color w:val="auto"/>
          <w:szCs w:val="32"/>
        </w:rPr>
        <w:t>建成</w:t>
      </w:r>
      <w:r>
        <w:rPr>
          <w:rFonts w:hint="eastAsia" w:ascii="仿宋_GB2312" w:hAnsi="仿宋_GB2312"/>
          <w:color w:val="auto"/>
          <w:szCs w:val="32"/>
        </w:rPr>
        <w:t>2个县域医共体，县医院成为国家县域慢病管理中心认证单位，成功创建省级健康县。</w:t>
      </w:r>
      <w:r>
        <w:rPr>
          <w:rFonts w:hint="eastAsia" w:ascii="仿宋_GB2312"/>
          <w:color w:val="auto"/>
        </w:rPr>
        <w:t>城乡居民养老保险参保率保持在97%以上、医保参保率99%以上。县民政局入选“全国社会救助工作先进单位”，社会治安、基层治理、信访稳定、退役军人服务保障等工作持续优化，西柏坡镇获评全国乡村治理示范镇，西柏坡派出所获评全国公安楷模集体，平山</w:t>
      </w:r>
      <w:r>
        <w:rPr>
          <w:rFonts w:hint="eastAsia" w:ascii="仿宋_GB2312" w:hAnsi="仿宋_GB2312"/>
          <w:color w:val="auto"/>
          <w:szCs w:val="32"/>
        </w:rPr>
        <w:t>荣膺全国双拥模范县“六连冠”</w:t>
      </w:r>
      <w:r>
        <w:rPr>
          <w:rFonts w:hint="eastAsia" w:ascii="仿宋_GB2312"/>
          <w:color w:val="auto"/>
        </w:rPr>
        <w:t>。</w:t>
      </w:r>
    </w:p>
    <w:p w14:paraId="4CCF93B3">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b/>
          <w:bCs/>
          <w:color w:val="auto"/>
          <w:szCs w:val="32"/>
        </w:rPr>
      </w:pPr>
      <w:r>
        <w:rPr>
          <w:rFonts w:hint="eastAsia" w:ascii="仿宋_GB2312" w:hAnsi="仿宋"/>
          <w:b/>
          <w:bCs/>
          <w:color w:val="auto"/>
          <w:szCs w:val="32"/>
        </w:rPr>
        <w:t>——改革开放持续深化，发展活力充分释放。</w:t>
      </w:r>
      <w:r>
        <w:rPr>
          <w:rFonts w:hint="eastAsia" w:ascii="仿宋_GB2312" w:hAnsi="仿宋"/>
          <w:color w:val="auto"/>
          <w:szCs w:val="32"/>
        </w:rPr>
        <w:t>聚焦制约高质量发展的体制机制障碍，大胆探索，</w:t>
      </w:r>
      <w:r>
        <w:rPr>
          <w:rFonts w:hint="eastAsia" w:ascii="仿宋_GB2312" w:hAnsi="仿宋_GB2312"/>
          <w:color w:val="auto"/>
          <w:szCs w:val="32"/>
        </w:rPr>
        <w:t>先后承接了27个省级以上改革试点，42项平山经验得到上级推广。</w:t>
      </w:r>
      <w:r>
        <w:rPr>
          <w:rFonts w:hint="eastAsia" w:ascii="仿宋_GB2312" w:hAnsi="仿宋"/>
          <w:color w:val="auto"/>
          <w:szCs w:val="32"/>
        </w:rPr>
        <w:t>推动了“高效办成一件事”系统落地应用，惠企政策实现“免审即享”，12345政务服务热线事项办复率100%，政务服务效能显著提升，企业和群众办事更加便捷，对外开放水平提高，累计</w:t>
      </w:r>
      <w:r>
        <w:rPr>
          <w:rFonts w:hint="eastAsia" w:ascii="仿宋_GB2312" w:hAnsi="仿宋_GB2312"/>
          <w:color w:val="auto"/>
          <w:szCs w:val="32"/>
        </w:rPr>
        <w:t>签约引进15</w:t>
      </w:r>
      <w:r>
        <w:rPr>
          <w:rFonts w:ascii="仿宋_GB2312" w:hAnsi="仿宋_GB2312"/>
          <w:color w:val="auto"/>
          <w:szCs w:val="32"/>
        </w:rPr>
        <w:t>6</w:t>
      </w:r>
      <w:r>
        <w:rPr>
          <w:rFonts w:hint="eastAsia" w:ascii="仿宋_GB2312" w:hAnsi="仿宋_GB2312"/>
          <w:color w:val="auto"/>
          <w:szCs w:val="32"/>
        </w:rPr>
        <w:t>个项目、总投资</w:t>
      </w:r>
      <w:r>
        <w:rPr>
          <w:rFonts w:ascii="仿宋_GB2312" w:hAnsi="仿宋_GB2312"/>
          <w:color w:val="auto"/>
          <w:szCs w:val="32"/>
        </w:rPr>
        <w:t>610.62</w:t>
      </w:r>
      <w:r>
        <w:rPr>
          <w:rFonts w:hint="eastAsia" w:ascii="仿宋_GB2312" w:hAnsi="仿宋_GB2312"/>
          <w:color w:val="auto"/>
          <w:szCs w:val="32"/>
        </w:rPr>
        <w:t>亿元，</w:t>
      </w:r>
      <w:r>
        <w:rPr>
          <w:rFonts w:hint="eastAsia" w:ascii="仿宋_GB2312" w:hAnsi="仿宋"/>
          <w:color w:val="auto"/>
          <w:szCs w:val="32"/>
        </w:rPr>
        <w:t>开放型经济格局逐步形成。</w:t>
      </w:r>
    </w:p>
    <w:p w14:paraId="52620CE6">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b/>
          <w:bCs/>
          <w:color w:val="auto"/>
          <w:szCs w:val="32"/>
        </w:rPr>
        <w:t>——党的建设成效显著，政治生态持续向好。</w:t>
      </w:r>
      <w:r>
        <w:rPr>
          <w:rFonts w:hint="eastAsia" w:ascii="仿宋_GB2312" w:hAnsi="仿宋"/>
          <w:color w:val="auto"/>
          <w:szCs w:val="32"/>
        </w:rPr>
        <w:t>基层组织建设加强，不断拓宽人选来源渠道，村（社区）“两委”干部年龄、学历明显优化，基层党组织战斗堡垒作用和党员先锋模范作用充分发挥。干部作风持续改进，严格落实中央八项规定精神，狠刹违规吃喝歪风，激励干部担当作为，形成干群一条心的良好氛围。疫情防控成效显著，坚决落实“人民至上、生命至上”理念，构建“五级联控”体系，668支志愿者队伍12万名志愿者投身抗疫，统筹推进疫情防控和经济社会发展，实现“双战双胜”。</w:t>
      </w:r>
    </w:p>
    <w:p w14:paraId="1695A95A">
      <w:pPr>
        <w:pageBreakBefore w:val="0"/>
        <w:widowControl w:val="0"/>
        <w:kinsoku/>
        <w:wordWrap/>
        <w:overflowPunct/>
        <w:topLinePunct w:val="0"/>
        <w:autoSpaceDE/>
        <w:autoSpaceDN/>
        <w:bidi w:val="0"/>
        <w:adjustRightInd/>
        <w:snapToGrid/>
        <w:spacing w:line="580" w:lineRule="exact"/>
        <w:ind w:firstLine="640"/>
        <w:textAlignment w:val="auto"/>
        <w:rPr>
          <w:rFonts w:ascii="Times New Roman" w:hAnsi="Times New Roman" w:cs="Times New Roman"/>
          <w:strike/>
          <w:color w:val="auto"/>
        </w:rPr>
      </w:pPr>
      <w:r>
        <w:rPr>
          <w:rFonts w:hint="eastAsia" w:ascii="仿宋_GB2312" w:hAnsi="仿宋"/>
          <w:color w:val="auto"/>
          <w:szCs w:val="32"/>
        </w:rPr>
        <w:t>综上所述，“十四五”时期，县域综合实力大幅提升，红色品牌不断擦亮，改革开放纵深推进，产业结构持续优化，城乡面貌焕然一新，生态优势不断彰显，人民生活显著改善，产业振兴、生态宜居、和谐安定、充满活力的新平山建设取得突破性进展。</w:t>
      </w:r>
      <w:r>
        <w:rPr>
          <w:rFonts w:ascii="Times New Roman" w:hAnsi="Times New Roman" w:cs="Times New Roman"/>
          <w:color w:val="auto"/>
        </w:rPr>
        <w:t>这些成绩的取得，最根本的在于以习近平总书记为核心的党中央领航掌舵，在于习近平新时代中国特色社会主义思想科学指引，是省委省政府</w:t>
      </w:r>
      <w:r>
        <w:rPr>
          <w:rFonts w:hint="eastAsia" w:ascii="Times New Roman" w:hAnsi="Times New Roman" w:cs="Times New Roman"/>
          <w:color w:val="auto"/>
        </w:rPr>
        <w:t>、市委市政府</w:t>
      </w:r>
      <w:r>
        <w:rPr>
          <w:rFonts w:ascii="Times New Roman" w:hAnsi="Times New Roman" w:cs="Times New Roman"/>
          <w:color w:val="auto"/>
        </w:rPr>
        <w:t>关心支持的结果，是全</w:t>
      </w:r>
      <w:r>
        <w:rPr>
          <w:rFonts w:hint="eastAsia" w:ascii="Times New Roman" w:hAnsi="Times New Roman" w:cs="Times New Roman"/>
          <w:color w:val="auto"/>
        </w:rPr>
        <w:t>县</w:t>
      </w:r>
      <w:r>
        <w:rPr>
          <w:rFonts w:ascii="Times New Roman" w:hAnsi="Times New Roman" w:cs="Times New Roman"/>
          <w:color w:val="auto"/>
        </w:rPr>
        <w:t>上下</w:t>
      </w:r>
      <w:r>
        <w:rPr>
          <w:rFonts w:hint="eastAsia" w:ascii="Times New Roman" w:hAnsi="Times New Roman" w:cs="Times New Roman"/>
          <w:color w:val="auto"/>
        </w:rPr>
        <w:t>团结一心、接续奋斗</w:t>
      </w:r>
      <w:r>
        <w:rPr>
          <w:rFonts w:ascii="Times New Roman" w:hAnsi="Times New Roman" w:cs="Times New Roman"/>
          <w:color w:val="auto"/>
        </w:rPr>
        <w:t>的结果。全</w:t>
      </w:r>
      <w:r>
        <w:rPr>
          <w:rFonts w:hint="eastAsia" w:ascii="Times New Roman" w:hAnsi="Times New Roman" w:cs="Times New Roman"/>
          <w:color w:val="auto"/>
        </w:rPr>
        <w:t>县党员干部群众</w:t>
      </w:r>
      <w:r>
        <w:rPr>
          <w:rFonts w:ascii="Times New Roman" w:hAnsi="Times New Roman" w:cs="Times New Roman"/>
          <w:color w:val="auto"/>
        </w:rPr>
        <w:t>必须不折不扣贯彻落实习近平总书记重要讲话和重要指示精神，把习近平总书记的关心关怀和殷切嘱托转化为干事创业的强大动力和实际行动，推动</w:t>
      </w:r>
      <w:r>
        <w:rPr>
          <w:rFonts w:hint="eastAsia" w:ascii="Times New Roman" w:hAnsi="Times New Roman" w:cs="Times New Roman"/>
          <w:color w:val="auto"/>
        </w:rPr>
        <w:t>中央决策部署和省、市</w:t>
      </w:r>
      <w:r>
        <w:rPr>
          <w:rFonts w:ascii="Times New Roman" w:hAnsi="Times New Roman" w:cs="Times New Roman"/>
          <w:color w:val="auto"/>
        </w:rPr>
        <w:t>工作</w:t>
      </w:r>
      <w:r>
        <w:rPr>
          <w:rFonts w:hint="eastAsia" w:ascii="Times New Roman" w:hAnsi="Times New Roman" w:cs="Times New Roman"/>
          <w:color w:val="auto"/>
        </w:rPr>
        <w:t>要求</w:t>
      </w:r>
      <w:r>
        <w:rPr>
          <w:rFonts w:ascii="Times New Roman" w:hAnsi="Times New Roman" w:cs="Times New Roman"/>
          <w:color w:val="auto"/>
        </w:rPr>
        <w:t>在</w:t>
      </w:r>
      <w:r>
        <w:rPr>
          <w:rFonts w:hint="eastAsia" w:ascii="Times New Roman" w:hAnsi="Times New Roman" w:cs="Times New Roman"/>
          <w:color w:val="auto"/>
        </w:rPr>
        <w:t>平山</w:t>
      </w:r>
      <w:r>
        <w:rPr>
          <w:rFonts w:ascii="Times New Roman" w:hAnsi="Times New Roman" w:cs="Times New Roman"/>
          <w:color w:val="auto"/>
        </w:rPr>
        <w:t>落地见效。</w:t>
      </w:r>
    </w:p>
    <w:p w14:paraId="068E945A">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23" w:name="_Toc211251917"/>
      <w:bookmarkStart w:id="24" w:name="_Toc217984221"/>
      <w:bookmarkStart w:id="25" w:name="_Toc216989011"/>
      <w:bookmarkStart w:id="26" w:name="_Toc225513174"/>
      <w:r>
        <w:rPr>
          <w:rFonts w:hint="eastAsia" w:ascii="楷体_GB2312" w:hAnsi="楷体_GB2312" w:cs="楷体_GB2312"/>
          <w:color w:val="auto"/>
        </w:rPr>
        <w:t>第二章 提质增效“十五五”，开启高质量发展新</w:t>
      </w:r>
      <w:bookmarkEnd w:id="23"/>
      <w:bookmarkEnd w:id="24"/>
      <w:bookmarkEnd w:id="25"/>
      <w:r>
        <w:rPr>
          <w:rFonts w:hint="eastAsia" w:ascii="楷体_GB2312" w:hAnsi="楷体_GB2312" w:cs="楷体_GB2312"/>
          <w:color w:val="auto"/>
        </w:rPr>
        <w:t>征程</w:t>
      </w:r>
      <w:bookmarkEnd w:id="26"/>
    </w:p>
    <w:p w14:paraId="26DDEC1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color w:val="auto"/>
          <w:szCs w:val="32"/>
        </w:rPr>
        <w:t>“十五五”时期，平山正处于蓄势聚能、转型发展的关键时期，外部环境与内部条件发生重大而深刻的变化，机遇与挑战并存，需要以更高的战略敏感性和决断力主动应对、捕捉先机，借势发力，不断开创县域经济社会高质量发展新局面。</w:t>
      </w:r>
      <w:bookmarkStart w:id="27" w:name="_Toc216989012"/>
      <w:bookmarkStart w:id="28" w:name="_Toc211251918"/>
      <w:bookmarkStart w:id="29" w:name="_Toc217984222"/>
    </w:p>
    <w:p w14:paraId="2AB69BA0">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eastAsia="仿宋_GB2312" w:cs="仿宋_GB2312"/>
          <w:b/>
          <w:bCs w:val="0"/>
          <w:color w:val="auto"/>
        </w:rPr>
      </w:pPr>
      <w:bookmarkStart w:id="30" w:name="_Toc225513175"/>
      <w:r>
        <w:rPr>
          <w:rFonts w:hint="eastAsia" w:ascii="仿宋_GB2312" w:hAnsi="仿宋_GB2312" w:eastAsia="仿宋_GB2312" w:cs="仿宋_GB2312"/>
          <w:b/>
          <w:bCs w:val="0"/>
          <w:color w:val="auto"/>
        </w:rPr>
        <w:t>一、发展机遇</w:t>
      </w:r>
      <w:bookmarkEnd w:id="27"/>
      <w:bookmarkEnd w:id="28"/>
      <w:bookmarkEnd w:id="29"/>
      <w:bookmarkEnd w:id="30"/>
    </w:p>
    <w:p w14:paraId="3A7D133B">
      <w:pPr>
        <w:pageBreakBefore w:val="0"/>
        <w:widowControl w:val="0"/>
        <w:kinsoku/>
        <w:wordWrap/>
        <w:overflowPunct/>
        <w:topLinePunct w:val="0"/>
        <w:autoSpaceDE/>
        <w:autoSpaceDN/>
        <w:bidi w:val="0"/>
        <w:adjustRightInd/>
        <w:snapToGrid/>
        <w:spacing w:line="580" w:lineRule="exact"/>
        <w:ind w:firstLine="640"/>
        <w:textAlignment w:val="auto"/>
        <w:rPr>
          <w:rFonts w:hint="eastAsia"/>
          <w:b/>
          <w:bCs/>
          <w:color w:val="auto"/>
        </w:rPr>
      </w:pPr>
      <w:r>
        <w:rPr>
          <w:rFonts w:hint="eastAsia"/>
          <w:b/>
          <w:bCs/>
          <w:color w:val="auto"/>
        </w:rPr>
        <w:t>（一）新技术赋能产业升级机遇</w:t>
      </w:r>
    </w:p>
    <w:p w14:paraId="6B578A8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color w:val="auto"/>
          <w:szCs w:val="32"/>
        </w:rPr>
        <w:t>人工智能、大数据、区块链等新技术加速迭代应用，为工业智能管控、农业精准生产、旅游业智慧服务提供了有力支撑。钢铁企业可借助智能技术实现生产过程优化与效率提升，农业可依托大数据开展农产品溯源监管，旅游业可运用数字技术开发沉浸式体验产品，实现传统产业优化升级与新兴产业培育壮大。</w:t>
      </w:r>
    </w:p>
    <w:p w14:paraId="472A1D0A">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p>
    <w:p w14:paraId="186B7EC5">
      <w:pPr>
        <w:pageBreakBefore w:val="0"/>
        <w:widowControl w:val="0"/>
        <w:kinsoku/>
        <w:wordWrap/>
        <w:overflowPunct/>
        <w:topLinePunct w:val="0"/>
        <w:autoSpaceDE/>
        <w:autoSpaceDN/>
        <w:bidi w:val="0"/>
        <w:adjustRightInd/>
        <w:snapToGrid/>
        <w:spacing w:line="580" w:lineRule="exact"/>
        <w:ind w:firstLine="640"/>
        <w:textAlignment w:val="auto"/>
        <w:rPr>
          <w:rFonts w:hint="eastAsia"/>
          <w:b/>
          <w:bCs/>
          <w:color w:val="auto"/>
        </w:rPr>
      </w:pPr>
      <w:r>
        <w:rPr>
          <w:rFonts w:hint="eastAsia"/>
          <w:b/>
          <w:bCs/>
          <w:color w:val="auto"/>
        </w:rPr>
        <w:t>（二）区域协同发展释放机遇红利</w:t>
      </w:r>
    </w:p>
    <w:p w14:paraId="6EEB17EA">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color w:val="auto"/>
          <w:szCs w:val="32"/>
        </w:rPr>
        <w:t>随着京津冀协同发展不断深化，平山与北京、天津、石家庄等核心城市的联系更加紧密，要素流动效率显著提升。</w:t>
      </w:r>
      <w:r>
        <w:rPr>
          <w:rFonts w:hint="eastAsia" w:ascii="仿宋_GB2312" w:hAnsi="仿宋_GB2312"/>
          <w:color w:val="auto"/>
          <w:szCs w:val="32"/>
        </w:rPr>
        <w:t>省委、省政府大力推进太行山文化旅游带建设，市委、市政府正在加快建设石家庄都市圈、滹沱河经济带，为平山融入大局、加快发展提供了更多有利条件。有望在产业承接、生态建设、</w:t>
      </w:r>
      <w:r>
        <w:rPr>
          <w:rFonts w:hint="eastAsia" w:ascii="仿宋_GB2312" w:hAnsi="仿宋"/>
          <w:color w:val="auto"/>
          <w:szCs w:val="32"/>
        </w:rPr>
        <w:t>交通互联、服务共享等方面获得更多更好的机遇。</w:t>
      </w:r>
    </w:p>
    <w:p w14:paraId="4C016FBB">
      <w:pPr>
        <w:pageBreakBefore w:val="0"/>
        <w:widowControl w:val="0"/>
        <w:kinsoku/>
        <w:wordWrap/>
        <w:overflowPunct/>
        <w:topLinePunct w:val="0"/>
        <w:autoSpaceDE/>
        <w:autoSpaceDN/>
        <w:bidi w:val="0"/>
        <w:adjustRightInd/>
        <w:snapToGrid/>
        <w:spacing w:line="580" w:lineRule="exact"/>
        <w:ind w:firstLine="640"/>
        <w:textAlignment w:val="auto"/>
        <w:rPr>
          <w:rFonts w:hint="eastAsia"/>
          <w:b/>
          <w:bCs/>
          <w:color w:val="auto"/>
        </w:rPr>
      </w:pPr>
      <w:r>
        <w:rPr>
          <w:rFonts w:hint="eastAsia"/>
          <w:b/>
          <w:bCs/>
          <w:color w:val="auto"/>
        </w:rPr>
        <w:t>（三）革命老区振兴政策倾斜机遇</w:t>
      </w:r>
    </w:p>
    <w:p w14:paraId="6E283F5C">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_GB2312"/>
          <w:color w:val="auto"/>
          <w:szCs w:val="32"/>
        </w:rPr>
        <w:t>国家始终大力支持革命老区加快振兴发展。</w:t>
      </w:r>
      <w:r>
        <w:rPr>
          <w:rFonts w:hint="eastAsia" w:ascii="仿宋_GB2312" w:hAnsi="仿宋"/>
          <w:color w:val="auto"/>
          <w:szCs w:val="32"/>
        </w:rPr>
        <w:t>平山作为全国著名的革命老区，能够借助相关政策，积极争取基础设施建设（道路、电力、通信）、公共服务提升（教育、医疗）、产业发展（红色旅游、特色农业）等方面政策倾斜和资金支持，助力红色基因传承、经济社会发展、基础设施建设、乡村全面振兴和人民生活改善。</w:t>
      </w:r>
    </w:p>
    <w:p w14:paraId="191391E1">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eastAsia="仿宋_GB2312" w:cs="仿宋_GB2312"/>
          <w:b/>
          <w:bCs w:val="0"/>
          <w:color w:val="auto"/>
        </w:rPr>
      </w:pPr>
      <w:bookmarkStart w:id="31" w:name="_Toc216989013"/>
      <w:bookmarkStart w:id="32" w:name="_Toc225513176"/>
      <w:bookmarkStart w:id="33" w:name="_Toc217984223"/>
      <w:bookmarkStart w:id="34" w:name="_Toc211251919"/>
      <w:r>
        <w:rPr>
          <w:rFonts w:hint="eastAsia" w:ascii="仿宋_GB2312" w:hAnsi="仿宋_GB2312" w:eastAsia="仿宋_GB2312" w:cs="仿宋_GB2312"/>
          <w:b/>
          <w:bCs w:val="0"/>
          <w:color w:val="auto"/>
        </w:rPr>
        <w:t>二、面临挑战</w:t>
      </w:r>
      <w:bookmarkEnd w:id="31"/>
      <w:bookmarkEnd w:id="32"/>
      <w:bookmarkEnd w:id="33"/>
      <w:bookmarkEnd w:id="34"/>
    </w:p>
    <w:p w14:paraId="1ED0161E">
      <w:pPr>
        <w:pageBreakBefore w:val="0"/>
        <w:widowControl w:val="0"/>
        <w:kinsoku/>
        <w:wordWrap/>
        <w:overflowPunct/>
        <w:topLinePunct w:val="0"/>
        <w:autoSpaceDE/>
        <w:autoSpaceDN/>
        <w:bidi w:val="0"/>
        <w:adjustRightInd/>
        <w:snapToGrid/>
        <w:spacing w:line="580" w:lineRule="exact"/>
        <w:ind w:firstLine="640"/>
        <w:textAlignment w:val="auto"/>
        <w:rPr>
          <w:rFonts w:hint="eastAsia"/>
          <w:b/>
          <w:bCs/>
          <w:color w:val="auto"/>
        </w:rPr>
      </w:pPr>
      <w:r>
        <w:rPr>
          <w:rFonts w:hint="eastAsia"/>
          <w:b/>
          <w:bCs/>
          <w:color w:val="auto"/>
        </w:rPr>
        <w:t>（一）区域竞争与产业结构的双重压力</w:t>
      </w:r>
    </w:p>
    <w:p w14:paraId="2FED4B46">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color w:val="auto"/>
          <w:szCs w:val="32"/>
        </w:rPr>
        <w:t>一方面，与周边县（市、区）在钢铁、旅游等产业发展上存在同质化竞争；另一方面，在承接北京非首都功能疏解过程中，由于产业结构、生态环保等因素制约，需要在人才、资金、项目等方面进一步发力，争取在“十五五”期间取得突破性进展。</w:t>
      </w:r>
    </w:p>
    <w:p w14:paraId="3D6D961F">
      <w:pPr>
        <w:pageBreakBefore w:val="0"/>
        <w:widowControl w:val="0"/>
        <w:kinsoku/>
        <w:wordWrap/>
        <w:overflowPunct/>
        <w:topLinePunct w:val="0"/>
        <w:autoSpaceDE/>
        <w:autoSpaceDN/>
        <w:bidi w:val="0"/>
        <w:adjustRightInd/>
        <w:snapToGrid/>
        <w:spacing w:line="580" w:lineRule="exact"/>
        <w:ind w:firstLine="640"/>
        <w:textAlignment w:val="auto"/>
        <w:rPr>
          <w:rFonts w:hint="eastAsia"/>
          <w:b/>
          <w:bCs/>
          <w:color w:val="auto"/>
        </w:rPr>
      </w:pPr>
      <w:r>
        <w:rPr>
          <w:rFonts w:hint="eastAsia"/>
          <w:b/>
          <w:bCs/>
          <w:color w:val="auto"/>
        </w:rPr>
        <w:t>（二）经济发展与生态保护的平衡矛盾</w:t>
      </w:r>
    </w:p>
    <w:p w14:paraId="3024E70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color w:val="auto"/>
          <w:szCs w:val="32"/>
        </w:rPr>
        <w:t>在工业化、城市化、旅游开发等进程当中，对县域生态环境造成一定影响。随着环保政策收紧，未来发展也受到生态保护方面的制约。平山还面临大气污染防治、饮用水水源地保护、水环境治理、垃圾污水处理等方面挑战，实现“碳达峰”目标需要进一步努力。</w:t>
      </w:r>
    </w:p>
    <w:p w14:paraId="12BEA645">
      <w:pPr>
        <w:pageBreakBefore w:val="0"/>
        <w:widowControl w:val="0"/>
        <w:kinsoku/>
        <w:wordWrap/>
        <w:overflowPunct/>
        <w:topLinePunct w:val="0"/>
        <w:autoSpaceDE/>
        <w:autoSpaceDN/>
        <w:bidi w:val="0"/>
        <w:adjustRightInd/>
        <w:snapToGrid/>
        <w:spacing w:line="580" w:lineRule="exact"/>
        <w:ind w:firstLine="640"/>
        <w:textAlignment w:val="auto"/>
        <w:rPr>
          <w:rFonts w:hint="eastAsia"/>
          <w:b/>
          <w:bCs/>
          <w:color w:val="auto"/>
        </w:rPr>
      </w:pPr>
      <w:r>
        <w:rPr>
          <w:rFonts w:hint="eastAsia"/>
          <w:b/>
          <w:bCs/>
          <w:color w:val="auto"/>
        </w:rPr>
        <w:t>（三）人口老龄化与劳动力的供给矛盾</w:t>
      </w:r>
    </w:p>
    <w:p w14:paraId="36FD728B">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color w:val="auto"/>
          <w:szCs w:val="32"/>
        </w:rPr>
        <w:t>“十四五”末，全县60周岁及以上老年人口占比达19.8%，呈现“增速快、空巢化”特征，养老服务设施和服务能力有待提升。15-59岁劳动年龄人口较2020年减少1.2万人，部分岗位劳动力短缺，对经济社会可持续发展造成一定影响。</w:t>
      </w:r>
    </w:p>
    <w:p w14:paraId="3420114B">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5" w:name="_Toc216989014"/>
      <w:bookmarkStart w:id="36" w:name="_Toc217984224"/>
      <w:bookmarkStart w:id="37" w:name="_Toc225513177"/>
      <w:bookmarkStart w:id="38" w:name="_Toc211251920"/>
      <w:r>
        <w:rPr>
          <w:rFonts w:hint="eastAsia"/>
          <w:color w:val="auto"/>
        </w:rPr>
        <w:t>第三章 指导思想、基本原则、战略定位和发展目标</w:t>
      </w:r>
      <w:bookmarkEnd w:id="35"/>
      <w:bookmarkEnd w:id="36"/>
      <w:bookmarkEnd w:id="37"/>
      <w:bookmarkEnd w:id="38"/>
    </w:p>
    <w:p w14:paraId="4D443912">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eastAsia="仿宋_GB2312" w:cs="仿宋_GB2312"/>
          <w:b/>
          <w:bCs w:val="0"/>
          <w:color w:val="auto"/>
        </w:rPr>
      </w:pPr>
      <w:bookmarkStart w:id="39" w:name="_Toc225513178"/>
      <w:bookmarkStart w:id="40" w:name="_Toc211251921"/>
      <w:bookmarkStart w:id="41" w:name="_Toc217984225"/>
      <w:bookmarkStart w:id="42" w:name="_Toc216989015"/>
      <w:r>
        <w:rPr>
          <w:rFonts w:hint="eastAsia" w:ascii="仿宋_GB2312" w:hAnsi="仿宋_GB2312" w:eastAsia="仿宋_GB2312" w:cs="仿宋_GB2312"/>
          <w:b/>
          <w:bCs w:val="0"/>
          <w:color w:val="auto"/>
        </w:rPr>
        <w:t>一、指导思想</w:t>
      </w:r>
      <w:bookmarkEnd w:id="39"/>
      <w:bookmarkEnd w:id="40"/>
      <w:bookmarkEnd w:id="41"/>
      <w:bookmarkEnd w:id="42"/>
    </w:p>
    <w:p w14:paraId="4D4E44AD">
      <w:pPr>
        <w:pageBreakBefore w:val="0"/>
        <w:widowControl w:val="0"/>
        <w:kinsoku/>
        <w:wordWrap/>
        <w:overflowPunct/>
        <w:topLinePunct w:val="0"/>
        <w:autoSpaceDE/>
        <w:autoSpaceDN/>
        <w:bidi w:val="0"/>
        <w:adjustRightInd/>
        <w:snapToGrid/>
        <w:spacing w:line="580" w:lineRule="exact"/>
        <w:ind w:firstLine="640"/>
        <w:textAlignment w:val="auto"/>
        <w:rPr>
          <w:rFonts w:hint="eastAsia"/>
          <w:b/>
          <w:color w:val="auto"/>
        </w:rPr>
      </w:pPr>
      <w:bookmarkStart w:id="43" w:name="_Toc217984226"/>
      <w:bookmarkStart w:id="44" w:name="_Toc216989016"/>
      <w:bookmarkStart w:id="45" w:name="_Toc211251922"/>
      <w:r>
        <w:rPr>
          <w:rFonts w:hint="eastAsia"/>
          <w:color w:val="auto"/>
        </w:rPr>
        <w:t>坚持马克思列宁主义、毛泽东思想、邓小平理论、“三个代表”重要思想、科学发展观，全面贯彻习近平新时代中国特色社会主义思想，深入贯彻党的二十大和二十届历次全会精神，统筹推进“五位一体”总体布局，协调推进“四个全面”战略布局，完整准确全面贯彻新发展理念，积极服务和融入新发展格局，坚持稳中求进工作总基调，坚持以经济建设为中心，以推动高质量发展为主题，以改革创新为根本动力，以满足人民日益增长的美好生活需要为根本目的，以全面从严治党为根本保障，发展壮大县域经济，推动经济实现质的有效提升和量的合理增长，提升城乡现代化建设水平，推动人的全面发展、全体人民共同富裕迈出坚实步伐，加快建设产业振兴、生态宜居、和谐安定、充满活力的新平山，为确保基本实现社会主义现代化取得决定性进展贡献力量。</w:t>
      </w:r>
    </w:p>
    <w:p w14:paraId="4EAD7238">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eastAsia="仿宋_GB2312" w:cs="仿宋_GB2312"/>
          <w:b/>
          <w:bCs w:val="0"/>
          <w:color w:val="auto"/>
        </w:rPr>
      </w:pPr>
      <w:bookmarkStart w:id="46" w:name="_Toc225513179"/>
      <w:r>
        <w:rPr>
          <w:rFonts w:hint="eastAsia" w:ascii="仿宋_GB2312" w:hAnsi="仿宋_GB2312" w:eastAsia="仿宋_GB2312" w:cs="仿宋_GB2312"/>
          <w:b/>
          <w:bCs w:val="0"/>
          <w:color w:val="auto"/>
        </w:rPr>
        <w:t>二、基本原则</w:t>
      </w:r>
      <w:bookmarkEnd w:id="43"/>
      <w:bookmarkEnd w:id="44"/>
      <w:bookmarkEnd w:id="45"/>
      <w:bookmarkEnd w:id="46"/>
    </w:p>
    <w:p w14:paraId="6F03B238">
      <w:pPr>
        <w:pageBreakBefore w:val="0"/>
        <w:widowControl w:val="0"/>
        <w:kinsoku/>
        <w:wordWrap/>
        <w:overflowPunct/>
        <w:topLinePunct w:val="0"/>
        <w:autoSpaceDE/>
        <w:autoSpaceDN/>
        <w:bidi w:val="0"/>
        <w:adjustRightInd/>
        <w:snapToGrid/>
        <w:spacing w:after="0" w:line="580" w:lineRule="exact"/>
        <w:ind w:firstLine="639" w:firstLineChars="0"/>
        <w:textAlignment w:val="auto"/>
        <w:rPr>
          <w:rFonts w:hint="eastAsia" w:ascii="仿宋_GB2312" w:hAnsi="仿宋"/>
          <w:color w:val="auto"/>
          <w:szCs w:val="32"/>
        </w:rPr>
      </w:pPr>
      <w:bookmarkStart w:id="47" w:name="_Toc211251923"/>
      <w:bookmarkStart w:id="48" w:name="_Toc217984227"/>
      <w:bookmarkStart w:id="49" w:name="_Toc216989017"/>
      <w:r>
        <w:rPr>
          <w:rFonts w:hint="eastAsia" w:ascii="仿宋_GB2312" w:hAnsi="仿宋"/>
          <w:b/>
          <w:bCs/>
          <w:color w:val="auto"/>
          <w:szCs w:val="32"/>
        </w:rPr>
        <w:t>——坚持党的全面领导。</w:t>
      </w:r>
      <w:r>
        <w:rPr>
          <w:rFonts w:hint="eastAsia" w:ascii="仿宋_GB2312" w:hAnsi="仿宋"/>
          <w:color w:val="auto"/>
          <w:szCs w:val="32"/>
        </w:rPr>
        <w:t>坚决维护习近平总书记党中央的核心、全党的核心地位，坚决维护党中央权威和集中统一领导，把党的领导贯穿经济社会发展各方面全过程，为社会主义现代化建设提供根本保证。</w:t>
      </w:r>
    </w:p>
    <w:p w14:paraId="7BD9136A">
      <w:pPr>
        <w:pageBreakBefore w:val="0"/>
        <w:widowControl w:val="0"/>
        <w:kinsoku/>
        <w:wordWrap/>
        <w:overflowPunct/>
        <w:topLinePunct w:val="0"/>
        <w:autoSpaceDE/>
        <w:autoSpaceDN/>
        <w:bidi w:val="0"/>
        <w:adjustRightInd/>
        <w:snapToGrid/>
        <w:spacing w:after="0" w:line="580" w:lineRule="exact"/>
        <w:ind w:firstLine="639" w:firstLineChars="0"/>
        <w:textAlignment w:val="auto"/>
        <w:rPr>
          <w:rFonts w:hint="eastAsia" w:ascii="仿宋_GB2312" w:hAnsi="仿宋"/>
          <w:color w:val="auto"/>
          <w:szCs w:val="32"/>
        </w:rPr>
      </w:pPr>
      <w:r>
        <w:rPr>
          <w:rFonts w:hint="eastAsia" w:ascii="仿宋_GB2312" w:hAnsi="仿宋"/>
          <w:b/>
          <w:bCs/>
          <w:color w:val="auto"/>
          <w:szCs w:val="32"/>
        </w:rPr>
        <w:t>——坚持人民至上。</w:t>
      </w:r>
      <w:r>
        <w:rPr>
          <w:rFonts w:hint="eastAsia" w:ascii="仿宋_GB2312" w:hAnsi="仿宋"/>
          <w:color w:val="auto"/>
          <w:szCs w:val="32"/>
        </w:rPr>
        <w:t>尊重人民主体地位，紧紧依靠人民，维护人民根本利益，促进社会公平正义，持续保障和改善民生，推动经济和社会协调发展、物质文明和精神文明相得益彰，让现代化建设成果更多更公平惠及全体人民。</w:t>
      </w:r>
    </w:p>
    <w:p w14:paraId="51CABA20">
      <w:pPr>
        <w:pageBreakBefore w:val="0"/>
        <w:widowControl w:val="0"/>
        <w:kinsoku/>
        <w:wordWrap/>
        <w:overflowPunct/>
        <w:topLinePunct w:val="0"/>
        <w:autoSpaceDE/>
        <w:autoSpaceDN/>
        <w:bidi w:val="0"/>
        <w:adjustRightInd/>
        <w:snapToGrid/>
        <w:spacing w:after="0" w:line="580" w:lineRule="exact"/>
        <w:ind w:firstLine="639" w:firstLineChars="0"/>
        <w:textAlignment w:val="auto"/>
        <w:rPr>
          <w:rFonts w:hint="eastAsia" w:ascii="仿宋_GB2312" w:hAnsi="仿宋"/>
          <w:color w:val="auto"/>
          <w:szCs w:val="32"/>
        </w:rPr>
      </w:pPr>
      <w:r>
        <w:rPr>
          <w:rFonts w:hint="eastAsia" w:ascii="仿宋_GB2312" w:hAnsi="仿宋"/>
          <w:b/>
          <w:bCs/>
          <w:color w:val="auto"/>
          <w:szCs w:val="32"/>
        </w:rPr>
        <w:t>——坚持高质量发展。</w:t>
      </w:r>
      <w:r>
        <w:rPr>
          <w:rFonts w:hint="eastAsia" w:ascii="仿宋_GB2312" w:hAnsi="仿宋"/>
          <w:color w:val="auto"/>
          <w:szCs w:val="32"/>
        </w:rPr>
        <w:t>以新发展理念引领发展，积极融入京津冀协同发展，统筹扩大内需和深化供给侧结构性改革，推进主导产业、新兴产业和特色产业加快发展，推动经济持续健康发展和社会全面进步。</w:t>
      </w:r>
    </w:p>
    <w:p w14:paraId="695337C3">
      <w:pPr>
        <w:pageBreakBefore w:val="0"/>
        <w:widowControl w:val="0"/>
        <w:kinsoku/>
        <w:wordWrap/>
        <w:overflowPunct/>
        <w:topLinePunct w:val="0"/>
        <w:autoSpaceDE/>
        <w:autoSpaceDN/>
        <w:bidi w:val="0"/>
        <w:adjustRightInd/>
        <w:snapToGrid/>
        <w:spacing w:after="0" w:line="580" w:lineRule="exact"/>
        <w:ind w:firstLine="639" w:firstLineChars="0"/>
        <w:textAlignment w:val="auto"/>
        <w:rPr>
          <w:rFonts w:hint="eastAsia" w:ascii="仿宋_GB2312" w:hAnsi="仿宋"/>
          <w:color w:val="auto"/>
          <w:szCs w:val="32"/>
        </w:rPr>
      </w:pPr>
      <w:r>
        <w:rPr>
          <w:rFonts w:hint="eastAsia" w:ascii="仿宋_GB2312" w:hAnsi="仿宋"/>
          <w:b/>
          <w:bCs/>
          <w:color w:val="auto"/>
          <w:szCs w:val="32"/>
        </w:rPr>
        <w:t>——坚持全面深化改革。</w:t>
      </w:r>
      <w:r>
        <w:rPr>
          <w:rFonts w:hint="eastAsia" w:ascii="仿宋_GB2312" w:hAnsi="仿宋"/>
          <w:color w:val="auto"/>
          <w:szCs w:val="32"/>
        </w:rPr>
        <w:t>以经济体制改革为牵引，统筹推进深层次改革，破解制约高质量发展、高品质生活、高效能治理的体制机制障碍，不断增强发展动力和社会活力。</w:t>
      </w:r>
    </w:p>
    <w:p w14:paraId="388F2163">
      <w:pPr>
        <w:pageBreakBefore w:val="0"/>
        <w:widowControl w:val="0"/>
        <w:kinsoku/>
        <w:wordWrap/>
        <w:overflowPunct/>
        <w:topLinePunct w:val="0"/>
        <w:autoSpaceDE/>
        <w:autoSpaceDN/>
        <w:bidi w:val="0"/>
        <w:adjustRightInd/>
        <w:snapToGrid/>
        <w:spacing w:after="0" w:line="580" w:lineRule="exact"/>
        <w:ind w:firstLine="639" w:firstLineChars="0"/>
        <w:textAlignment w:val="auto"/>
        <w:rPr>
          <w:rFonts w:hint="eastAsia" w:ascii="仿宋_GB2312" w:hAnsi="仿宋"/>
          <w:color w:val="auto"/>
          <w:szCs w:val="32"/>
        </w:rPr>
      </w:pPr>
      <w:r>
        <w:rPr>
          <w:rFonts w:hint="eastAsia" w:ascii="仿宋_GB2312" w:hAnsi="仿宋"/>
          <w:b/>
          <w:bCs/>
          <w:color w:val="auto"/>
          <w:szCs w:val="32"/>
        </w:rPr>
        <w:t>——坚持有效市场和有为政府相结合。</w:t>
      </w:r>
      <w:r>
        <w:rPr>
          <w:rFonts w:hint="eastAsia" w:ascii="仿宋_GB2312" w:hAnsi="仿宋"/>
          <w:color w:val="auto"/>
          <w:szCs w:val="32"/>
        </w:rPr>
        <w:t>充分发挥市场在资源配置中的决定性作用，更好发挥政府作用，持续优化营商环境，激发各类经营主体创新创造潜能，形成既“放得活”又“管得好”的经济秩序。</w:t>
      </w:r>
    </w:p>
    <w:p w14:paraId="66009BDE">
      <w:pPr>
        <w:pageBreakBefore w:val="0"/>
        <w:widowControl w:val="0"/>
        <w:kinsoku/>
        <w:wordWrap/>
        <w:overflowPunct/>
        <w:topLinePunct w:val="0"/>
        <w:autoSpaceDE/>
        <w:autoSpaceDN/>
        <w:bidi w:val="0"/>
        <w:adjustRightInd/>
        <w:snapToGrid/>
        <w:spacing w:after="0" w:line="580" w:lineRule="exact"/>
        <w:ind w:firstLine="639" w:firstLineChars="0"/>
        <w:textAlignment w:val="auto"/>
        <w:rPr>
          <w:rFonts w:hint="eastAsia" w:ascii="仿宋_GB2312" w:hAnsi="仿宋"/>
          <w:color w:val="auto"/>
          <w:szCs w:val="32"/>
        </w:rPr>
      </w:pPr>
      <w:r>
        <w:rPr>
          <w:rFonts w:hint="eastAsia" w:ascii="仿宋_GB2312" w:hAnsi="仿宋"/>
          <w:b/>
          <w:bCs/>
          <w:color w:val="auto"/>
          <w:szCs w:val="32"/>
        </w:rPr>
        <w:t>——坚持统筹发展和安全。</w:t>
      </w:r>
      <w:r>
        <w:rPr>
          <w:rFonts w:hint="eastAsia" w:ascii="仿宋_GB2312" w:hAnsi="仿宋"/>
          <w:color w:val="auto"/>
          <w:szCs w:val="32"/>
        </w:rPr>
        <w:t>在发展中固安全，在安全中谋发展，强化底线思维，提高基层治理水平，有效防范化解各类风险，增强经济和社会韧性，以新安全格局保障新发展格局。</w:t>
      </w:r>
    </w:p>
    <w:p w14:paraId="406889BC">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eastAsia="仿宋_GB2312" w:cs="仿宋_GB2312"/>
          <w:b/>
          <w:bCs w:val="0"/>
          <w:color w:val="auto"/>
        </w:rPr>
      </w:pPr>
      <w:bookmarkStart w:id="50" w:name="_Toc225513180"/>
      <w:r>
        <w:rPr>
          <w:rFonts w:hint="eastAsia" w:ascii="仿宋_GB2312" w:hAnsi="仿宋_GB2312" w:eastAsia="仿宋_GB2312" w:cs="仿宋_GB2312"/>
          <w:b/>
          <w:bCs w:val="0"/>
          <w:color w:val="auto"/>
        </w:rPr>
        <w:t>三、战略定位</w:t>
      </w:r>
      <w:bookmarkEnd w:id="47"/>
      <w:bookmarkEnd w:id="48"/>
      <w:bookmarkEnd w:id="49"/>
      <w:bookmarkEnd w:id="50"/>
    </w:p>
    <w:p w14:paraId="0578D55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b/>
          <w:bCs/>
          <w:color w:val="auto"/>
          <w:szCs w:val="32"/>
        </w:rPr>
        <w:t>全国著名红色旅游革命圣地。</w:t>
      </w:r>
      <w:r>
        <w:rPr>
          <w:rFonts w:hint="eastAsia" w:ascii="仿宋_GB2312" w:hAnsi="仿宋"/>
          <w:color w:val="auto"/>
          <w:szCs w:val="32"/>
        </w:rPr>
        <w:t>依托西柏坡资源与品牌优势，传承红色精神，强化爱国主义教育基地功能，唱响“平山红”品牌，提升区域知名度与核心竞争力，打造全国一流的红色旅游革命圣地。</w:t>
      </w:r>
    </w:p>
    <w:p w14:paraId="079CBDC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b/>
          <w:bCs/>
          <w:color w:val="auto"/>
          <w:szCs w:val="32"/>
        </w:rPr>
        <w:t>国家生态文明建设示范区。</w:t>
      </w:r>
      <w:r>
        <w:rPr>
          <w:rFonts w:hint="eastAsia" w:ascii="仿宋_GB2312" w:hAnsi="仿宋"/>
          <w:color w:val="auto"/>
          <w:szCs w:val="32"/>
        </w:rPr>
        <w:t>以筑牢京津冀生态安全屏障为核心，深化污染防治与生态保护修复，推动产业绿色转型，优化城乡生态环境，拓宽生态产品价值实现路径，巩固提升生态保护与经济发展协同共生的县域标杆地位。</w:t>
      </w:r>
    </w:p>
    <w:p w14:paraId="232A237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b/>
          <w:bCs/>
          <w:color w:val="auto"/>
          <w:szCs w:val="32"/>
        </w:rPr>
        <w:t>京津冀生态康养目的地。</w:t>
      </w:r>
      <w:r>
        <w:rPr>
          <w:rFonts w:hint="eastAsia" w:ascii="仿宋_GB2312" w:hAnsi="仿宋"/>
          <w:color w:val="auto"/>
          <w:szCs w:val="32"/>
        </w:rPr>
        <w:t>充分利用驼梁、天桂山等丰富自然资源、温泉地热资源、中山国等历史文化资源，打造集生态观光、温泉疗养、森林康养、乡村休闲于一体的多元化生态康养空间，为京津冀提供高品质康养度假目的地。</w:t>
      </w:r>
    </w:p>
    <w:p w14:paraId="22A026D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bookmarkStart w:id="51" w:name="OLE_LINK4"/>
      <w:r>
        <w:rPr>
          <w:rFonts w:hint="eastAsia" w:ascii="仿宋_GB2312" w:hAnsi="仿宋"/>
          <w:b/>
          <w:bCs/>
          <w:color w:val="auto"/>
          <w:szCs w:val="32"/>
        </w:rPr>
        <w:t>河北省钢铁产业转型与绿色发展先行区。</w:t>
      </w:r>
      <w:r>
        <w:rPr>
          <w:rFonts w:hint="eastAsia" w:ascii="仿宋_GB2312" w:hAnsi="仿宋"/>
          <w:color w:val="auto"/>
          <w:szCs w:val="32"/>
        </w:rPr>
        <w:t>依托现有产业基础和生态资源优势，加快推动传统的钢铁产业</w:t>
      </w:r>
      <w:r>
        <w:rPr>
          <w:rFonts w:hint="eastAsia" w:ascii="仿宋_GB2312" w:hAnsi="仿宋_GB2312"/>
          <w:color w:val="auto"/>
          <w:szCs w:val="32"/>
        </w:rPr>
        <w:t>数智化、绿色化、融合化</w:t>
      </w:r>
      <w:r>
        <w:rPr>
          <w:rFonts w:hint="eastAsia" w:ascii="仿宋_GB2312" w:hAnsi="仿宋"/>
          <w:color w:val="auto"/>
          <w:szCs w:val="32"/>
        </w:rPr>
        <w:t>转型，</w:t>
      </w:r>
      <w:bookmarkStart w:id="52" w:name="OLE_LINK11"/>
      <w:r>
        <w:rPr>
          <w:rFonts w:hint="eastAsia" w:ascii="仿宋_GB2312" w:hAnsi="仿宋"/>
          <w:color w:val="auto"/>
          <w:szCs w:val="32"/>
        </w:rPr>
        <w:t>培育壮大高端装备制造、新能源、新材料等新兴产业，</w:t>
      </w:r>
      <w:bookmarkEnd w:id="52"/>
      <w:r>
        <w:rPr>
          <w:rFonts w:hint="eastAsia" w:ascii="仿宋_GB2312" w:hAnsi="仿宋"/>
          <w:color w:val="auto"/>
          <w:szCs w:val="32"/>
        </w:rPr>
        <w:t>打造区域产业转型和绿色发展先行区。</w:t>
      </w:r>
    </w:p>
    <w:bookmarkEnd w:id="51"/>
    <w:p w14:paraId="74FFA57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bookmarkStart w:id="53" w:name="_Toc211251924"/>
      <w:bookmarkStart w:id="54" w:name="_Toc216989018"/>
      <w:r>
        <w:rPr>
          <w:rFonts w:hint="eastAsia" w:ascii="仿宋_GB2312" w:hAnsi="仿宋"/>
          <w:b/>
          <w:bCs/>
          <w:color w:val="auto"/>
          <w:szCs w:val="32"/>
        </w:rPr>
        <w:t>太行山高端有机农产品生产地。</w:t>
      </w:r>
      <w:r>
        <w:rPr>
          <w:rFonts w:hint="eastAsia" w:ascii="仿宋_GB2312" w:hAnsi="仿宋"/>
          <w:color w:val="auto"/>
          <w:szCs w:val="32"/>
        </w:rPr>
        <w:t>依托太行山区独特的地理和气候条件，以京津冀高端市场需求为目标，以现代农业科技为引领，持续壮大山地苹果、设施蔬菜、道地中药材、休闲农业、现代畜牧等五大特色产业，发展农产品深加工，打造太行山高端有机农产品生产地。</w:t>
      </w:r>
    </w:p>
    <w:p w14:paraId="0E7B43B0">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eastAsia="仿宋_GB2312" w:cs="仿宋_GB2312"/>
          <w:b/>
          <w:bCs w:val="0"/>
          <w:color w:val="auto"/>
        </w:rPr>
      </w:pPr>
      <w:bookmarkStart w:id="55" w:name="_Toc225513181"/>
      <w:bookmarkStart w:id="56" w:name="_Toc217984228"/>
      <w:r>
        <w:rPr>
          <w:rFonts w:hint="eastAsia" w:ascii="仿宋_GB2312" w:hAnsi="仿宋_GB2312" w:eastAsia="仿宋_GB2312" w:cs="仿宋_GB2312"/>
          <w:b/>
          <w:bCs w:val="0"/>
          <w:color w:val="auto"/>
        </w:rPr>
        <w:t>四、发展目标</w:t>
      </w:r>
      <w:bookmarkEnd w:id="53"/>
      <w:bookmarkEnd w:id="54"/>
      <w:bookmarkEnd w:id="55"/>
      <w:bookmarkEnd w:id="56"/>
    </w:p>
    <w:p w14:paraId="29E063D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b/>
          <w:bCs/>
          <w:color w:val="auto"/>
          <w:szCs w:val="32"/>
        </w:rPr>
        <w:t>——高质量发展取得显著成效。</w:t>
      </w:r>
      <w:r>
        <w:rPr>
          <w:rFonts w:hint="eastAsia" w:ascii="仿宋_GB2312" w:hAnsi="仿宋"/>
          <w:color w:val="auto"/>
          <w:szCs w:val="32"/>
        </w:rPr>
        <w:t>主要经济指标年均增速高于全市平均水平，经济总量实现新跃升，在融入京津冀协同发展和省市大局中取得更多成果，新型工业化、信息化取得重大进展，县域特色产业集群支撑作用更加明显。</w:t>
      </w:r>
    </w:p>
    <w:p w14:paraId="2062419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b/>
          <w:bCs/>
          <w:color w:val="auto"/>
          <w:szCs w:val="32"/>
        </w:rPr>
        <w:t>——科技创新能力大幅提升。</w:t>
      </w:r>
      <w:r>
        <w:rPr>
          <w:rFonts w:hint="eastAsia" w:ascii="仿宋_GB2312" w:hAnsi="仿宋"/>
          <w:color w:val="auto"/>
          <w:szCs w:val="32"/>
        </w:rPr>
        <w:t>科技创新体系更加完善，研发投入强度达到新水平，科技创新、产业创新和成果转化能力显著增强，创新驱动作用进一步显现。</w:t>
      </w:r>
    </w:p>
    <w:p w14:paraId="7479F5B8">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b/>
          <w:bCs/>
          <w:color w:val="auto"/>
          <w:szCs w:val="32"/>
        </w:rPr>
        <w:t>——城乡建设迈上新台阶。</w:t>
      </w:r>
      <w:r>
        <w:rPr>
          <w:rFonts w:hint="eastAsia" w:ascii="仿宋_GB2312" w:hAnsi="仿宋"/>
          <w:color w:val="auto"/>
          <w:szCs w:val="32"/>
        </w:rPr>
        <w:t>以县城为重要载体的新型城镇化建设全面推进，城乡基础设施和服务能力更有保障，县城和镇区整体品质显著提升，农村基本具备现代化生活条件，人民群众更加安居乐业。</w:t>
      </w:r>
    </w:p>
    <w:p w14:paraId="05D48DD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b/>
          <w:bCs/>
          <w:color w:val="auto"/>
          <w:szCs w:val="32"/>
        </w:rPr>
        <w:t>——进一步全面深化改革向纵深推进。</w:t>
      </w:r>
      <w:r>
        <w:rPr>
          <w:rFonts w:hint="eastAsia" w:ascii="仿宋_GB2312" w:hAnsi="仿宋"/>
          <w:color w:val="auto"/>
          <w:szCs w:val="32"/>
        </w:rPr>
        <w:t>推动高质量发展的体制机制更加完善，治理体系和治理能力现代化深入推进，重点领域和关键环节改革取得突破，营商环境持续优化，民主政治建设和法治平山建设达到更高水平。</w:t>
      </w:r>
    </w:p>
    <w:p w14:paraId="4651CCC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b/>
          <w:bCs/>
          <w:color w:val="auto"/>
          <w:szCs w:val="32"/>
        </w:rPr>
        <w:t>——人民生活品质不断提高。</w:t>
      </w:r>
      <w:r>
        <w:rPr>
          <w:rFonts w:hint="eastAsia" w:ascii="仿宋_GB2312" w:hAnsi="仿宋"/>
          <w:color w:val="auto"/>
          <w:szCs w:val="32"/>
        </w:rPr>
        <w:t>红色精神大力弘扬和传承，社会主义核心价值观广泛践行，人民精神文化生活更加丰富，文化软实力不断提升。居民收入稳步增长，就业、教育、医疗、养老等公共服务体系更加健全，兜底保障更加有效，人口实现高质量发展，人民群众获得感、幸福感、安全感持续提升。</w:t>
      </w:r>
    </w:p>
    <w:p w14:paraId="4B29515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b/>
          <w:bCs/>
          <w:color w:val="auto"/>
          <w:szCs w:val="32"/>
        </w:rPr>
        <w:t>——美丽平山建设取得更大进展。</w:t>
      </w:r>
      <w:r>
        <w:rPr>
          <w:rFonts w:hint="eastAsia" w:ascii="仿宋_GB2312" w:hAnsi="仿宋"/>
          <w:color w:val="auto"/>
          <w:szCs w:val="32"/>
        </w:rPr>
        <w:t>生态环境治理体系更加健全，绿色生产生活方式基本形成，碳达峰目标如期实现，清洁高效、多元支撑的新型能源体系加快建设，城乡人居环境实现根本改善，全面绿色转型取得明显成效。</w:t>
      </w:r>
    </w:p>
    <w:p w14:paraId="0B237F0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b/>
          <w:bCs/>
          <w:color w:val="auto"/>
          <w:szCs w:val="32"/>
        </w:rPr>
        <w:t>——平安平山建设达到更高水平。</w:t>
      </w:r>
      <w:r>
        <w:rPr>
          <w:rFonts w:hint="eastAsia" w:ascii="仿宋_GB2312" w:hAnsi="仿宋"/>
          <w:color w:val="auto"/>
          <w:szCs w:val="32"/>
        </w:rPr>
        <w:t>全县国家安全体系和能力进一步加强，重点领域风险得到有效防范化解，基层治理和公共安全治理水平明显提高，自然灾害防御能力显著提升，统筹发展和安全的能力不断增强。</w:t>
      </w:r>
    </w:p>
    <w:p w14:paraId="6BCC2CD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r>
        <w:rPr>
          <w:rFonts w:hint="eastAsia" w:ascii="仿宋_GB2312" w:hAnsi="仿宋"/>
          <w:color w:val="auto"/>
          <w:szCs w:val="32"/>
        </w:rPr>
        <w:t>在此基础上再奋斗五年，到二〇三五年实现县域经济综合实力大幅跃升，经济总量迈上新台阶，人民生活更加幸福美好，全面建成产业振兴、生态宜居、和谐安定、充满活力的新平山，同全国、全省、全市一道基本实现社会主义现代化。</w:t>
      </w:r>
    </w:p>
    <w:p w14:paraId="04F6490E">
      <w:pPr>
        <w:keepNext w:val="0"/>
        <w:keepLines w:val="0"/>
        <w:pageBreakBefore w:val="0"/>
        <w:widowControl w:val="0"/>
        <w:kinsoku/>
        <w:wordWrap/>
        <w:overflowPunct/>
        <w:topLinePunct w:val="0"/>
        <w:autoSpaceDE/>
        <w:autoSpaceDN/>
        <w:bidi w:val="0"/>
        <w:adjustRightInd/>
        <w:snapToGrid/>
        <w:spacing w:line="460" w:lineRule="exact"/>
        <w:ind w:firstLine="0" w:firstLineChars="0"/>
        <w:textAlignment w:val="auto"/>
        <w:rPr>
          <w:rFonts w:hint="eastAsia" w:ascii="Times New Roman" w:hAnsi="Times New Roman"/>
          <w:b/>
          <w:bCs/>
          <w:color w:val="auto"/>
          <w:sz w:val="28"/>
          <w:szCs w:val="24"/>
          <w:lang w:eastAsia="zh-CN"/>
        </w:rPr>
      </w:pPr>
    </w:p>
    <w:p w14:paraId="1F084452">
      <w:pPr>
        <w:keepNext w:val="0"/>
        <w:keepLines w:val="0"/>
        <w:pageBreakBefore w:val="0"/>
        <w:widowControl w:val="0"/>
        <w:kinsoku/>
        <w:wordWrap/>
        <w:overflowPunct/>
        <w:topLinePunct w:val="0"/>
        <w:autoSpaceDE/>
        <w:autoSpaceDN/>
        <w:bidi w:val="0"/>
        <w:adjustRightInd/>
        <w:snapToGrid/>
        <w:spacing w:line="460" w:lineRule="exact"/>
        <w:ind w:firstLine="0" w:firstLineChars="0"/>
        <w:textAlignment w:val="auto"/>
        <w:rPr>
          <w:rFonts w:hint="eastAsia" w:ascii="Times New Roman" w:hAnsi="Times New Roman"/>
          <w:b/>
          <w:bCs/>
          <w:color w:val="auto"/>
          <w:sz w:val="28"/>
          <w:szCs w:val="24"/>
          <w:lang w:eastAsia="zh-CN"/>
        </w:rPr>
      </w:pPr>
    </w:p>
    <w:p w14:paraId="29AC2E96">
      <w:pPr>
        <w:keepNext w:val="0"/>
        <w:keepLines w:val="0"/>
        <w:pageBreakBefore w:val="0"/>
        <w:widowControl w:val="0"/>
        <w:kinsoku/>
        <w:wordWrap/>
        <w:overflowPunct/>
        <w:topLinePunct w:val="0"/>
        <w:autoSpaceDE/>
        <w:autoSpaceDN/>
        <w:bidi w:val="0"/>
        <w:adjustRightInd/>
        <w:snapToGrid/>
        <w:spacing w:line="500" w:lineRule="exact"/>
        <w:ind w:firstLine="0" w:firstLineChars="0"/>
        <w:jc w:val="center"/>
        <w:textAlignment w:val="auto"/>
        <w:rPr>
          <w:rFonts w:hint="eastAsia" w:ascii="Times New Roman" w:hAnsi="Times New Roman"/>
          <w:b/>
          <w:bCs/>
          <w:color w:val="auto"/>
          <w:sz w:val="28"/>
          <w:szCs w:val="24"/>
          <w:lang w:val="en-US" w:eastAsia="zh-CN"/>
        </w:rPr>
      </w:pPr>
      <w:r>
        <w:rPr>
          <w:rFonts w:hint="eastAsia" w:ascii="Times New Roman" w:hAnsi="Times New Roman"/>
          <w:b/>
          <w:bCs/>
          <w:color w:val="auto"/>
          <w:sz w:val="28"/>
          <w:szCs w:val="24"/>
          <w:lang w:val="en-US" w:eastAsia="zh-CN"/>
        </w:rPr>
        <w:t>表</w:t>
      </w:r>
      <w:r>
        <w:rPr>
          <w:rFonts w:hint="eastAsia" w:ascii="方正仿宋_GBK" w:hAnsi="方正仿宋_GBK" w:eastAsia="方正仿宋_GBK" w:cs="方正仿宋_GBK"/>
          <w:b/>
          <w:bCs/>
          <w:color w:val="auto"/>
          <w:sz w:val="28"/>
          <w:szCs w:val="24"/>
          <w:lang w:val="en-US" w:eastAsia="zh-CN"/>
        </w:rPr>
        <w:t>1</w:t>
      </w:r>
      <w:r>
        <w:rPr>
          <w:rFonts w:hint="eastAsia" w:ascii="Times New Roman" w:hAnsi="Times New Roman"/>
          <w:b/>
          <w:bCs/>
          <w:color w:val="auto"/>
          <w:sz w:val="28"/>
          <w:szCs w:val="24"/>
          <w:lang w:val="en-US" w:eastAsia="zh-CN"/>
        </w:rPr>
        <w:t>：“十五五”时期经济社会发展主要指标</w:t>
      </w:r>
    </w:p>
    <w:tbl>
      <w:tblPr>
        <w:tblStyle w:val="31"/>
        <w:tblpPr w:leftFromText="180" w:rightFromText="180" w:vertAnchor="page" w:horzAnchor="page" w:tblpX="1640" w:tblpY="2591"/>
        <w:tblW w:w="87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1" w:type="dxa"/>
          <w:bottom w:w="0" w:type="dxa"/>
          <w:right w:w="51" w:type="dxa"/>
        </w:tblCellMar>
      </w:tblPr>
      <w:tblGrid>
        <w:gridCol w:w="820"/>
        <w:gridCol w:w="1941"/>
        <w:gridCol w:w="1942"/>
        <w:gridCol w:w="969"/>
        <w:gridCol w:w="1107"/>
        <w:gridCol w:w="1091"/>
        <w:gridCol w:w="847"/>
      </w:tblGrid>
      <w:tr w14:paraId="622D0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784" w:hRule="atLeast"/>
          <w:tblHeader/>
          <w:jc w:val="center"/>
        </w:trPr>
        <w:tc>
          <w:tcPr>
            <w:tcW w:w="820" w:type="dxa"/>
            <w:vAlign w:val="center"/>
          </w:tcPr>
          <w:p w14:paraId="532F8637">
            <w:pPr>
              <w:pStyle w:val="141"/>
              <w:jc w:val="center"/>
              <w:rPr>
                <w:rFonts w:ascii="Times New Roman" w:hAnsi="Times New Roman"/>
                <w:b/>
                <w:bCs/>
                <w:color w:val="auto"/>
              </w:rPr>
            </w:pPr>
            <w:r>
              <w:rPr>
                <w:rFonts w:hint="eastAsia" w:ascii="Times New Roman" w:hAnsi="Times New Roman"/>
                <w:b/>
                <w:bCs/>
                <w:color w:val="auto"/>
                <w:lang w:eastAsia="zh-CN"/>
              </w:rPr>
              <w:t>类</w:t>
            </w:r>
            <w:r>
              <w:rPr>
                <w:rFonts w:ascii="Times New Roman" w:hAnsi="Times New Roman"/>
                <w:b/>
                <w:bCs/>
                <w:color w:val="auto"/>
              </w:rPr>
              <w:t>别</w:t>
            </w:r>
          </w:p>
        </w:tc>
        <w:tc>
          <w:tcPr>
            <w:tcW w:w="3883" w:type="dxa"/>
            <w:gridSpan w:val="2"/>
            <w:vAlign w:val="center"/>
          </w:tcPr>
          <w:p w14:paraId="6887C517">
            <w:pPr>
              <w:pStyle w:val="141"/>
              <w:jc w:val="center"/>
              <w:rPr>
                <w:rFonts w:ascii="Times New Roman" w:hAnsi="Times New Roman"/>
                <w:b/>
                <w:bCs/>
                <w:color w:val="auto"/>
              </w:rPr>
            </w:pPr>
            <w:r>
              <w:rPr>
                <w:rFonts w:ascii="Times New Roman" w:hAnsi="Times New Roman"/>
                <w:b/>
                <w:bCs/>
                <w:color w:val="auto"/>
              </w:rPr>
              <w:t>指   标</w:t>
            </w:r>
          </w:p>
        </w:tc>
        <w:tc>
          <w:tcPr>
            <w:tcW w:w="969" w:type="dxa"/>
            <w:vAlign w:val="center"/>
          </w:tcPr>
          <w:p w14:paraId="35CA6585">
            <w:pPr>
              <w:pStyle w:val="141"/>
              <w:jc w:val="center"/>
              <w:rPr>
                <w:rFonts w:ascii="Times New Roman" w:hAnsi="Times New Roman"/>
                <w:b/>
                <w:bCs/>
                <w:color w:val="auto"/>
              </w:rPr>
            </w:pPr>
            <w:r>
              <w:rPr>
                <w:rFonts w:ascii="Times New Roman" w:hAnsi="Times New Roman"/>
                <w:b/>
                <w:bCs/>
                <w:color w:val="auto"/>
              </w:rPr>
              <w:t>2025年</w:t>
            </w:r>
          </w:p>
        </w:tc>
        <w:tc>
          <w:tcPr>
            <w:tcW w:w="1107" w:type="dxa"/>
            <w:vAlign w:val="center"/>
          </w:tcPr>
          <w:p w14:paraId="20EC8C7B">
            <w:pPr>
              <w:pStyle w:val="141"/>
              <w:ind w:left="-160" w:leftChars="-50" w:right="-160" w:rightChars="-50"/>
              <w:jc w:val="center"/>
              <w:rPr>
                <w:rFonts w:ascii="Times New Roman" w:hAnsi="Times New Roman"/>
                <w:b/>
                <w:bCs/>
                <w:color w:val="auto"/>
              </w:rPr>
            </w:pPr>
            <w:r>
              <w:rPr>
                <w:rFonts w:ascii="Times New Roman" w:hAnsi="Times New Roman"/>
                <w:b/>
                <w:bCs/>
                <w:color w:val="auto"/>
              </w:rPr>
              <w:t>2030年</w:t>
            </w:r>
          </w:p>
        </w:tc>
        <w:tc>
          <w:tcPr>
            <w:tcW w:w="1091" w:type="dxa"/>
            <w:vAlign w:val="center"/>
          </w:tcPr>
          <w:p w14:paraId="0DC6E513">
            <w:pPr>
              <w:pStyle w:val="141"/>
              <w:ind w:right="-160" w:rightChars="-50"/>
              <w:jc w:val="center"/>
              <w:rPr>
                <w:rFonts w:ascii="Times New Roman" w:hAnsi="Times New Roman"/>
                <w:b/>
                <w:bCs/>
                <w:color w:val="auto"/>
              </w:rPr>
            </w:pPr>
            <w:r>
              <w:rPr>
                <w:rFonts w:ascii="Times New Roman" w:hAnsi="Times New Roman"/>
                <w:b/>
                <w:bCs/>
                <w:color w:val="auto"/>
              </w:rPr>
              <w:t>年均增长</w:t>
            </w:r>
          </w:p>
          <w:p w14:paraId="1BD48CFF">
            <w:pPr>
              <w:pStyle w:val="141"/>
              <w:ind w:left="-160" w:leftChars="-50" w:right="-160" w:rightChars="-50"/>
              <w:jc w:val="center"/>
              <w:rPr>
                <w:rFonts w:ascii="Times New Roman" w:hAnsi="Times New Roman"/>
                <w:b/>
                <w:bCs/>
                <w:color w:val="auto"/>
              </w:rPr>
            </w:pPr>
            <w:r>
              <w:rPr>
                <w:rFonts w:hint="eastAsia" w:cs="宋体"/>
                <w:b/>
                <w:bCs/>
                <w:color w:val="auto"/>
              </w:rPr>
              <w:t>/[累计</w:t>
            </w:r>
            <w:r>
              <w:rPr>
                <w:rFonts w:ascii="Times New Roman" w:hAnsi="Times New Roman"/>
                <w:b/>
                <w:bCs/>
                <w:color w:val="auto"/>
              </w:rPr>
              <w:t>]</w:t>
            </w:r>
          </w:p>
        </w:tc>
        <w:tc>
          <w:tcPr>
            <w:tcW w:w="847" w:type="dxa"/>
            <w:vAlign w:val="center"/>
          </w:tcPr>
          <w:p w14:paraId="145BFA31">
            <w:pPr>
              <w:pStyle w:val="141"/>
              <w:jc w:val="center"/>
              <w:rPr>
                <w:rFonts w:ascii="Times New Roman" w:hAnsi="Times New Roman"/>
                <w:b/>
                <w:bCs/>
                <w:color w:val="auto"/>
              </w:rPr>
            </w:pPr>
            <w:r>
              <w:rPr>
                <w:rFonts w:ascii="Times New Roman" w:hAnsi="Times New Roman"/>
                <w:b/>
                <w:bCs/>
                <w:color w:val="auto"/>
              </w:rPr>
              <w:t>指标</w:t>
            </w:r>
          </w:p>
          <w:p w14:paraId="317FF6B2">
            <w:pPr>
              <w:pStyle w:val="141"/>
              <w:jc w:val="center"/>
              <w:rPr>
                <w:rFonts w:ascii="Times New Roman" w:hAnsi="Times New Roman"/>
                <w:b/>
                <w:bCs/>
                <w:color w:val="auto"/>
              </w:rPr>
            </w:pPr>
            <w:r>
              <w:rPr>
                <w:rFonts w:ascii="Times New Roman" w:hAnsi="Times New Roman"/>
                <w:b/>
                <w:bCs/>
                <w:color w:val="auto"/>
              </w:rPr>
              <w:t>属性</w:t>
            </w:r>
          </w:p>
        </w:tc>
      </w:tr>
      <w:tr w14:paraId="7653E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91" w:hRule="exact"/>
          <w:tblHeader/>
          <w:jc w:val="center"/>
        </w:trPr>
        <w:tc>
          <w:tcPr>
            <w:tcW w:w="820" w:type="dxa"/>
            <w:vMerge w:val="restart"/>
            <w:vAlign w:val="center"/>
          </w:tcPr>
          <w:p w14:paraId="46B922C9">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经济</w:t>
            </w:r>
          </w:p>
          <w:p w14:paraId="3DFF3DA2">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发展</w:t>
            </w:r>
          </w:p>
        </w:tc>
        <w:tc>
          <w:tcPr>
            <w:tcW w:w="3883" w:type="dxa"/>
            <w:gridSpan w:val="2"/>
            <w:vAlign w:val="center"/>
          </w:tcPr>
          <w:p w14:paraId="57A85447">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1.地区生产总值（GDP）增长（%）</w:t>
            </w:r>
          </w:p>
        </w:tc>
        <w:tc>
          <w:tcPr>
            <w:tcW w:w="969" w:type="dxa"/>
            <w:vAlign w:val="center"/>
          </w:tcPr>
          <w:p w14:paraId="17731E70">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1107" w:type="dxa"/>
            <w:vAlign w:val="center"/>
          </w:tcPr>
          <w:p w14:paraId="39BEE83F">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1091" w:type="dxa"/>
            <w:vAlign w:val="center"/>
          </w:tcPr>
          <w:p w14:paraId="15648680">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5.5左右</w:t>
            </w:r>
          </w:p>
        </w:tc>
        <w:tc>
          <w:tcPr>
            <w:tcW w:w="847" w:type="dxa"/>
            <w:vAlign w:val="center"/>
          </w:tcPr>
          <w:p w14:paraId="221C8621">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预期性</w:t>
            </w:r>
          </w:p>
        </w:tc>
      </w:tr>
      <w:tr w14:paraId="5BBC1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91" w:hRule="exact"/>
          <w:tblHeader/>
          <w:jc w:val="center"/>
        </w:trPr>
        <w:tc>
          <w:tcPr>
            <w:tcW w:w="820" w:type="dxa"/>
            <w:vMerge w:val="continue"/>
            <w:vAlign w:val="center"/>
          </w:tcPr>
          <w:p w14:paraId="4593E855">
            <w:pPr>
              <w:pStyle w:val="141"/>
              <w:ind w:firstLine="420"/>
              <w:jc w:val="center"/>
              <w:rPr>
                <w:rFonts w:hint="eastAsia" w:ascii="仿宋_GB2312" w:hAnsi="仿宋_GB2312" w:eastAsia="仿宋_GB2312" w:cs="仿宋_GB2312"/>
                <w:color w:val="auto"/>
                <w:sz w:val="21"/>
                <w:szCs w:val="21"/>
              </w:rPr>
            </w:pPr>
          </w:p>
        </w:tc>
        <w:tc>
          <w:tcPr>
            <w:tcW w:w="3883" w:type="dxa"/>
            <w:gridSpan w:val="2"/>
            <w:vAlign w:val="center"/>
          </w:tcPr>
          <w:p w14:paraId="39BF36BE">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lang w:val="en-US" w:eastAsia="zh-CN"/>
              </w:rPr>
              <w:t>2</w:t>
            </w:r>
            <w:r>
              <w:rPr>
                <w:rFonts w:hint="eastAsia" w:ascii="仿宋_GB2312" w:hAnsi="仿宋_GB2312" w:eastAsia="仿宋_GB2312" w:cs="仿宋_GB2312"/>
                <w:color w:val="auto"/>
                <w:sz w:val="21"/>
                <w:szCs w:val="21"/>
              </w:rPr>
              <w:t>.常住人口城镇化率（%）</w:t>
            </w:r>
          </w:p>
        </w:tc>
        <w:tc>
          <w:tcPr>
            <w:tcW w:w="969" w:type="dxa"/>
            <w:vAlign w:val="center"/>
          </w:tcPr>
          <w:p w14:paraId="70FE9311">
            <w:pPr>
              <w:pStyle w:val="141"/>
              <w:jc w:val="center"/>
              <w:rPr>
                <w:rFonts w:hint="default" w:ascii="仿宋_GB2312" w:hAnsi="仿宋_GB2312" w:eastAsia="仿宋_GB2312" w:cs="仿宋_GB2312"/>
                <w:color w:val="auto"/>
                <w:sz w:val="21"/>
                <w:szCs w:val="21"/>
                <w:lang w:val="en-US" w:eastAsia="zh-CN"/>
              </w:rPr>
            </w:pPr>
            <w:r>
              <w:rPr>
                <w:rFonts w:hint="eastAsia" w:ascii="仿宋_GB2312" w:hAnsi="仿宋_GB2312" w:eastAsia="仿宋_GB2312" w:cs="仿宋_GB2312"/>
                <w:color w:val="auto"/>
                <w:sz w:val="21"/>
                <w:szCs w:val="21"/>
                <w:lang w:val="en-US" w:eastAsia="zh-CN"/>
              </w:rPr>
              <w:t>55.14</w:t>
            </w:r>
          </w:p>
        </w:tc>
        <w:tc>
          <w:tcPr>
            <w:tcW w:w="1107" w:type="dxa"/>
            <w:vAlign w:val="center"/>
          </w:tcPr>
          <w:p w14:paraId="0AE21DAC">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lang w:val="en-US" w:eastAsia="zh-CN"/>
              </w:rPr>
              <w:t>56.2</w:t>
            </w:r>
            <w:r>
              <w:rPr>
                <w:rFonts w:hint="eastAsia" w:ascii="仿宋_GB2312" w:hAnsi="仿宋_GB2312" w:eastAsia="仿宋_GB2312" w:cs="仿宋_GB2312"/>
                <w:color w:val="auto"/>
                <w:sz w:val="21"/>
                <w:szCs w:val="21"/>
              </w:rPr>
              <w:t>左右</w:t>
            </w:r>
          </w:p>
        </w:tc>
        <w:tc>
          <w:tcPr>
            <w:tcW w:w="1091" w:type="dxa"/>
            <w:vAlign w:val="center"/>
          </w:tcPr>
          <w:p w14:paraId="0BED23B4">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847" w:type="dxa"/>
            <w:vAlign w:val="center"/>
          </w:tcPr>
          <w:p w14:paraId="2CBAA4A6">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预期性</w:t>
            </w:r>
          </w:p>
        </w:tc>
      </w:tr>
      <w:tr w14:paraId="21273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91" w:hRule="exact"/>
          <w:tblHeader/>
          <w:jc w:val="center"/>
        </w:trPr>
        <w:tc>
          <w:tcPr>
            <w:tcW w:w="820" w:type="dxa"/>
            <w:vMerge w:val="restart"/>
            <w:vAlign w:val="center"/>
          </w:tcPr>
          <w:p w14:paraId="6D6761C2">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创新</w:t>
            </w:r>
          </w:p>
          <w:p w14:paraId="166C39DB">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驱动</w:t>
            </w:r>
          </w:p>
        </w:tc>
        <w:tc>
          <w:tcPr>
            <w:tcW w:w="3883" w:type="dxa"/>
            <w:gridSpan w:val="2"/>
            <w:vAlign w:val="center"/>
          </w:tcPr>
          <w:p w14:paraId="07A3EF0D">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lang w:val="en-US" w:eastAsia="zh-CN"/>
              </w:rPr>
              <w:t>3</w:t>
            </w:r>
            <w:r>
              <w:rPr>
                <w:rFonts w:hint="eastAsia" w:ascii="仿宋_GB2312" w:hAnsi="仿宋_GB2312" w:eastAsia="仿宋_GB2312" w:cs="仿宋_GB2312"/>
                <w:color w:val="auto"/>
                <w:sz w:val="21"/>
                <w:szCs w:val="21"/>
              </w:rPr>
              <w:t>.全社会研发经费投入增长（%）</w:t>
            </w:r>
          </w:p>
        </w:tc>
        <w:tc>
          <w:tcPr>
            <w:tcW w:w="969" w:type="dxa"/>
            <w:vAlign w:val="center"/>
          </w:tcPr>
          <w:p w14:paraId="28B0810F">
            <w:pPr>
              <w:pStyle w:val="141"/>
              <w:jc w:val="center"/>
              <w:rPr>
                <w:rFonts w:hint="eastAsia" w:ascii="仿宋_GB2312" w:hAnsi="仿宋_GB2312" w:eastAsia="仿宋_GB2312" w:cs="仿宋_GB2312"/>
                <w:color w:val="auto"/>
                <w:sz w:val="21"/>
                <w:szCs w:val="21"/>
                <w:highlight w:val="yellow"/>
              </w:rPr>
            </w:pPr>
            <w:r>
              <w:rPr>
                <w:rFonts w:hint="eastAsia" w:ascii="仿宋_GB2312" w:hAnsi="仿宋_GB2312" w:eastAsia="仿宋_GB2312" w:cs="仿宋_GB2312"/>
                <w:color w:val="auto"/>
                <w:sz w:val="21"/>
                <w:szCs w:val="21"/>
              </w:rPr>
              <w:t>—</w:t>
            </w:r>
          </w:p>
        </w:tc>
        <w:tc>
          <w:tcPr>
            <w:tcW w:w="1107" w:type="dxa"/>
            <w:vAlign w:val="center"/>
          </w:tcPr>
          <w:p w14:paraId="1BABC95B">
            <w:pPr>
              <w:pStyle w:val="141"/>
              <w:jc w:val="center"/>
              <w:rPr>
                <w:rFonts w:hint="eastAsia" w:ascii="仿宋_GB2312" w:hAnsi="仿宋_GB2312" w:eastAsia="仿宋_GB2312" w:cs="仿宋_GB2312"/>
                <w:color w:val="auto"/>
                <w:sz w:val="21"/>
                <w:szCs w:val="21"/>
                <w:highlight w:val="yellow"/>
                <w:lang w:eastAsia="zh-CN"/>
              </w:rPr>
            </w:pPr>
            <w:r>
              <w:rPr>
                <w:rFonts w:hint="eastAsia" w:ascii="仿宋_GB2312" w:hAnsi="仿宋_GB2312" w:eastAsia="仿宋_GB2312" w:cs="仿宋_GB2312"/>
                <w:color w:val="auto"/>
                <w:sz w:val="21"/>
                <w:szCs w:val="21"/>
              </w:rPr>
              <w:t>—</w:t>
            </w:r>
          </w:p>
        </w:tc>
        <w:tc>
          <w:tcPr>
            <w:tcW w:w="1091" w:type="dxa"/>
            <w:vAlign w:val="center"/>
          </w:tcPr>
          <w:p w14:paraId="70C6DB3D">
            <w:pPr>
              <w:pStyle w:val="141"/>
              <w:jc w:val="center"/>
              <w:rPr>
                <w:rFonts w:hint="default" w:ascii="仿宋_GB2312" w:hAnsi="仿宋_GB2312" w:eastAsia="仿宋_GB2312" w:cs="仿宋_GB2312"/>
                <w:color w:val="auto"/>
                <w:sz w:val="21"/>
                <w:szCs w:val="21"/>
                <w:highlight w:val="yellow"/>
                <w:lang w:val="en-US" w:eastAsia="zh-CN"/>
              </w:rPr>
            </w:pPr>
            <w:r>
              <w:rPr>
                <w:rFonts w:hint="eastAsia" w:ascii="仿宋_GB2312" w:hAnsi="仿宋_GB2312" w:eastAsia="仿宋_GB2312" w:cs="仿宋_GB2312"/>
                <w:color w:val="auto"/>
                <w:sz w:val="21"/>
                <w:szCs w:val="21"/>
                <w:lang w:val="en-US" w:eastAsia="zh-CN"/>
              </w:rPr>
              <w:t>5.92</w:t>
            </w:r>
          </w:p>
        </w:tc>
        <w:tc>
          <w:tcPr>
            <w:tcW w:w="847" w:type="dxa"/>
            <w:vAlign w:val="center"/>
          </w:tcPr>
          <w:p w14:paraId="6F793CC9">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预期性</w:t>
            </w:r>
          </w:p>
        </w:tc>
      </w:tr>
      <w:tr w14:paraId="7D25E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91" w:hRule="exact"/>
          <w:tblHeader/>
          <w:jc w:val="center"/>
        </w:trPr>
        <w:tc>
          <w:tcPr>
            <w:tcW w:w="820" w:type="dxa"/>
            <w:vMerge w:val="continue"/>
            <w:vAlign w:val="center"/>
          </w:tcPr>
          <w:p w14:paraId="5C29CC89">
            <w:pPr>
              <w:pStyle w:val="141"/>
              <w:ind w:firstLine="420"/>
              <w:jc w:val="center"/>
              <w:rPr>
                <w:rFonts w:hint="eastAsia" w:ascii="仿宋_GB2312" w:hAnsi="仿宋_GB2312" w:eastAsia="仿宋_GB2312" w:cs="仿宋_GB2312"/>
                <w:color w:val="auto"/>
                <w:sz w:val="21"/>
                <w:szCs w:val="21"/>
              </w:rPr>
            </w:pPr>
          </w:p>
        </w:tc>
        <w:tc>
          <w:tcPr>
            <w:tcW w:w="3883" w:type="dxa"/>
            <w:gridSpan w:val="2"/>
            <w:vAlign w:val="center"/>
          </w:tcPr>
          <w:p w14:paraId="44C98BBF">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lang w:val="en-US" w:eastAsia="zh-CN"/>
              </w:rPr>
              <w:t>4</w:t>
            </w:r>
            <w:r>
              <w:rPr>
                <w:rFonts w:hint="eastAsia" w:ascii="仿宋_GB2312" w:hAnsi="仿宋_GB2312" w:eastAsia="仿宋_GB2312" w:cs="仿宋_GB2312"/>
                <w:color w:val="auto"/>
                <w:sz w:val="21"/>
                <w:szCs w:val="21"/>
              </w:rPr>
              <w:t>.每万人口高价值发明专利拥有量（件）</w:t>
            </w:r>
          </w:p>
        </w:tc>
        <w:tc>
          <w:tcPr>
            <w:tcW w:w="969" w:type="dxa"/>
            <w:vAlign w:val="center"/>
          </w:tcPr>
          <w:p w14:paraId="4C9ADCFD">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0.61</w:t>
            </w:r>
          </w:p>
        </w:tc>
        <w:tc>
          <w:tcPr>
            <w:tcW w:w="1107" w:type="dxa"/>
            <w:vAlign w:val="center"/>
          </w:tcPr>
          <w:p w14:paraId="0264C569">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0.71</w:t>
            </w:r>
          </w:p>
        </w:tc>
        <w:tc>
          <w:tcPr>
            <w:tcW w:w="1091" w:type="dxa"/>
            <w:vAlign w:val="center"/>
          </w:tcPr>
          <w:p w14:paraId="28E7F4D8">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847" w:type="dxa"/>
            <w:vAlign w:val="center"/>
          </w:tcPr>
          <w:p w14:paraId="2C5F232A">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预期性</w:t>
            </w:r>
          </w:p>
        </w:tc>
      </w:tr>
      <w:tr w14:paraId="63749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52" w:hRule="exact"/>
          <w:tblHeader/>
          <w:jc w:val="center"/>
        </w:trPr>
        <w:tc>
          <w:tcPr>
            <w:tcW w:w="820" w:type="dxa"/>
            <w:vMerge w:val="continue"/>
            <w:vAlign w:val="center"/>
          </w:tcPr>
          <w:p w14:paraId="75EAA036">
            <w:pPr>
              <w:pStyle w:val="141"/>
              <w:ind w:firstLine="420"/>
              <w:jc w:val="center"/>
              <w:rPr>
                <w:rFonts w:hint="eastAsia" w:ascii="仿宋_GB2312" w:hAnsi="仿宋_GB2312" w:eastAsia="仿宋_GB2312" w:cs="仿宋_GB2312"/>
                <w:color w:val="auto"/>
                <w:sz w:val="21"/>
                <w:szCs w:val="21"/>
              </w:rPr>
            </w:pPr>
          </w:p>
        </w:tc>
        <w:tc>
          <w:tcPr>
            <w:tcW w:w="3883" w:type="dxa"/>
            <w:gridSpan w:val="2"/>
            <w:vAlign w:val="center"/>
          </w:tcPr>
          <w:p w14:paraId="61B8D8E1">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lang w:val="en-US" w:eastAsia="zh-CN"/>
              </w:rPr>
              <w:t>5</w:t>
            </w:r>
            <w:r>
              <w:rPr>
                <w:rFonts w:hint="eastAsia" w:ascii="仿宋_GB2312" w:hAnsi="仿宋_GB2312" w:eastAsia="仿宋_GB2312" w:cs="仿宋_GB2312"/>
                <w:color w:val="auto"/>
                <w:sz w:val="21"/>
                <w:szCs w:val="21"/>
              </w:rPr>
              <w:t>.制造业增加值占GDP比重增幅（%）</w:t>
            </w:r>
          </w:p>
        </w:tc>
        <w:tc>
          <w:tcPr>
            <w:tcW w:w="969" w:type="dxa"/>
            <w:vAlign w:val="center"/>
          </w:tcPr>
          <w:p w14:paraId="244C16B4">
            <w:pPr>
              <w:pStyle w:val="141"/>
              <w:jc w:val="center"/>
              <w:rPr>
                <w:rFonts w:hint="default" w:ascii="仿宋_GB2312" w:hAnsi="仿宋_GB2312" w:eastAsia="仿宋_GB2312" w:cs="仿宋_GB2312"/>
                <w:color w:val="auto"/>
                <w:sz w:val="21"/>
                <w:szCs w:val="21"/>
                <w:lang w:val="en-US" w:eastAsia="zh-CN"/>
              </w:rPr>
            </w:pPr>
            <w:r>
              <w:rPr>
                <w:rFonts w:hint="eastAsia" w:ascii="仿宋_GB2312" w:hAnsi="仿宋_GB2312" w:eastAsia="仿宋_GB2312" w:cs="仿宋_GB2312"/>
                <w:color w:val="auto"/>
                <w:sz w:val="21"/>
                <w:szCs w:val="21"/>
              </w:rPr>
              <w:t>—</w:t>
            </w:r>
          </w:p>
        </w:tc>
        <w:tc>
          <w:tcPr>
            <w:tcW w:w="1107" w:type="dxa"/>
            <w:vAlign w:val="center"/>
          </w:tcPr>
          <w:p w14:paraId="09A2F8DE">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1091" w:type="dxa"/>
            <w:vAlign w:val="center"/>
          </w:tcPr>
          <w:p w14:paraId="5159BE44">
            <w:pPr>
              <w:pStyle w:val="141"/>
              <w:jc w:val="center"/>
              <w:rPr>
                <w:rFonts w:hint="eastAsia" w:ascii="仿宋_GB2312" w:hAnsi="仿宋_GB2312" w:eastAsia="仿宋_GB2312" w:cs="仿宋_GB2312"/>
                <w:color w:val="auto"/>
                <w:sz w:val="21"/>
                <w:szCs w:val="21"/>
                <w:lang w:val="en-US" w:eastAsia="zh-CN"/>
              </w:rPr>
            </w:pPr>
            <w:r>
              <w:rPr>
                <w:rFonts w:hint="eastAsia" w:ascii="仿宋_GB2312" w:hAnsi="仿宋_GB2312" w:eastAsia="仿宋_GB2312" w:cs="仿宋_GB2312"/>
                <w:color w:val="auto"/>
                <w:sz w:val="21"/>
                <w:szCs w:val="21"/>
                <w:lang w:val="en-US" w:eastAsia="zh-CN"/>
              </w:rPr>
              <w:t>优于全市</w:t>
            </w:r>
          </w:p>
        </w:tc>
        <w:tc>
          <w:tcPr>
            <w:tcW w:w="847" w:type="dxa"/>
            <w:vAlign w:val="center"/>
          </w:tcPr>
          <w:p w14:paraId="79876E34">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预期性</w:t>
            </w:r>
          </w:p>
        </w:tc>
      </w:tr>
      <w:tr w14:paraId="405A2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91" w:hRule="exact"/>
          <w:tblHeader/>
          <w:jc w:val="center"/>
        </w:trPr>
        <w:tc>
          <w:tcPr>
            <w:tcW w:w="820" w:type="dxa"/>
            <w:vMerge w:val="continue"/>
            <w:vAlign w:val="center"/>
          </w:tcPr>
          <w:p w14:paraId="2968C9AD">
            <w:pPr>
              <w:pStyle w:val="141"/>
              <w:ind w:firstLine="420"/>
              <w:jc w:val="center"/>
              <w:rPr>
                <w:rFonts w:hint="eastAsia" w:ascii="仿宋_GB2312" w:hAnsi="仿宋_GB2312" w:eastAsia="仿宋_GB2312" w:cs="仿宋_GB2312"/>
                <w:color w:val="auto"/>
                <w:sz w:val="21"/>
                <w:szCs w:val="21"/>
              </w:rPr>
            </w:pPr>
          </w:p>
        </w:tc>
        <w:tc>
          <w:tcPr>
            <w:tcW w:w="1941" w:type="dxa"/>
            <w:vMerge w:val="restart"/>
            <w:vAlign w:val="center"/>
          </w:tcPr>
          <w:p w14:paraId="1724A7FF">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lang w:val="en-US" w:eastAsia="zh-CN"/>
              </w:rPr>
              <w:t>6</w:t>
            </w:r>
            <w:r>
              <w:rPr>
                <w:rFonts w:hint="eastAsia" w:ascii="仿宋_GB2312" w:hAnsi="仿宋_GB2312" w:eastAsia="仿宋_GB2312" w:cs="仿宋_GB2312"/>
                <w:color w:val="auto"/>
                <w:sz w:val="21"/>
                <w:szCs w:val="21"/>
              </w:rPr>
              <w:t>.居民人均可支配收入增长（%）</w:t>
            </w:r>
          </w:p>
        </w:tc>
        <w:tc>
          <w:tcPr>
            <w:tcW w:w="1942" w:type="dxa"/>
            <w:vAlign w:val="center"/>
          </w:tcPr>
          <w:p w14:paraId="72DD0423">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城镇居民</w:t>
            </w:r>
          </w:p>
        </w:tc>
        <w:tc>
          <w:tcPr>
            <w:tcW w:w="969" w:type="dxa"/>
            <w:vAlign w:val="center"/>
          </w:tcPr>
          <w:p w14:paraId="4BF3C769">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4.7</w:t>
            </w:r>
          </w:p>
        </w:tc>
        <w:tc>
          <w:tcPr>
            <w:tcW w:w="1107" w:type="dxa"/>
            <w:vAlign w:val="center"/>
          </w:tcPr>
          <w:p w14:paraId="540DD501">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1091" w:type="dxa"/>
            <w:vAlign w:val="center"/>
          </w:tcPr>
          <w:p w14:paraId="4B9A3EE2">
            <w:pPr>
              <w:pStyle w:val="141"/>
              <w:jc w:val="center"/>
              <w:rPr>
                <w:rFonts w:hint="default" w:ascii="仿宋_GB2312" w:hAnsi="仿宋_GB2312" w:eastAsia="仿宋_GB2312" w:cs="仿宋_GB2312"/>
                <w:color w:val="auto"/>
                <w:sz w:val="21"/>
                <w:szCs w:val="21"/>
                <w:lang w:val="en-US" w:eastAsia="zh-CN"/>
              </w:rPr>
            </w:pPr>
            <w:r>
              <w:rPr>
                <w:rFonts w:hint="eastAsia" w:ascii="仿宋_GB2312" w:hAnsi="仿宋_GB2312" w:eastAsia="仿宋_GB2312" w:cs="仿宋_GB2312"/>
                <w:color w:val="auto"/>
                <w:sz w:val="21"/>
                <w:szCs w:val="21"/>
                <w:lang w:val="en-US" w:eastAsia="zh-CN"/>
              </w:rPr>
              <w:t>4.8</w:t>
            </w:r>
          </w:p>
        </w:tc>
        <w:tc>
          <w:tcPr>
            <w:tcW w:w="847" w:type="dxa"/>
            <w:vAlign w:val="center"/>
          </w:tcPr>
          <w:p w14:paraId="62C0405A">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预期性</w:t>
            </w:r>
          </w:p>
        </w:tc>
      </w:tr>
      <w:tr w14:paraId="24FAF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91" w:hRule="exact"/>
          <w:tblHeader/>
          <w:jc w:val="center"/>
        </w:trPr>
        <w:tc>
          <w:tcPr>
            <w:tcW w:w="820" w:type="dxa"/>
            <w:vMerge w:val="continue"/>
            <w:vAlign w:val="center"/>
          </w:tcPr>
          <w:p w14:paraId="5E3C8203">
            <w:pPr>
              <w:pStyle w:val="141"/>
              <w:ind w:firstLine="420"/>
              <w:jc w:val="center"/>
              <w:rPr>
                <w:rFonts w:hint="eastAsia" w:ascii="仿宋_GB2312" w:hAnsi="仿宋_GB2312" w:eastAsia="仿宋_GB2312" w:cs="仿宋_GB2312"/>
                <w:color w:val="auto"/>
                <w:sz w:val="21"/>
                <w:szCs w:val="21"/>
              </w:rPr>
            </w:pPr>
          </w:p>
        </w:tc>
        <w:tc>
          <w:tcPr>
            <w:tcW w:w="1941" w:type="dxa"/>
            <w:vMerge w:val="continue"/>
            <w:vAlign w:val="center"/>
          </w:tcPr>
          <w:p w14:paraId="449393D7">
            <w:pPr>
              <w:pStyle w:val="141"/>
              <w:ind w:firstLine="420"/>
              <w:rPr>
                <w:rFonts w:hint="eastAsia" w:ascii="仿宋_GB2312" w:hAnsi="仿宋_GB2312" w:eastAsia="仿宋_GB2312" w:cs="仿宋_GB2312"/>
                <w:color w:val="auto"/>
                <w:sz w:val="21"/>
                <w:szCs w:val="21"/>
              </w:rPr>
            </w:pPr>
          </w:p>
        </w:tc>
        <w:tc>
          <w:tcPr>
            <w:tcW w:w="1942" w:type="dxa"/>
            <w:vAlign w:val="center"/>
          </w:tcPr>
          <w:p w14:paraId="6E5B8FD6">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农村居民</w:t>
            </w:r>
          </w:p>
        </w:tc>
        <w:tc>
          <w:tcPr>
            <w:tcW w:w="969" w:type="dxa"/>
            <w:vAlign w:val="center"/>
          </w:tcPr>
          <w:p w14:paraId="44F105B4">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7.1</w:t>
            </w:r>
          </w:p>
        </w:tc>
        <w:tc>
          <w:tcPr>
            <w:tcW w:w="1107" w:type="dxa"/>
            <w:vAlign w:val="center"/>
          </w:tcPr>
          <w:p w14:paraId="1B7B0AAA">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1091" w:type="dxa"/>
            <w:vAlign w:val="center"/>
          </w:tcPr>
          <w:p w14:paraId="49143346">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6左右</w:t>
            </w:r>
          </w:p>
        </w:tc>
        <w:tc>
          <w:tcPr>
            <w:tcW w:w="847" w:type="dxa"/>
            <w:vAlign w:val="center"/>
          </w:tcPr>
          <w:p w14:paraId="1FD6B747">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预期性</w:t>
            </w:r>
          </w:p>
        </w:tc>
      </w:tr>
      <w:tr w14:paraId="438E4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91" w:hRule="exact"/>
          <w:tblHeader/>
          <w:jc w:val="center"/>
        </w:trPr>
        <w:tc>
          <w:tcPr>
            <w:tcW w:w="820" w:type="dxa"/>
            <w:vMerge w:val="continue"/>
            <w:vAlign w:val="center"/>
          </w:tcPr>
          <w:p w14:paraId="2195ED9B">
            <w:pPr>
              <w:pStyle w:val="141"/>
              <w:ind w:firstLine="420"/>
              <w:jc w:val="center"/>
              <w:rPr>
                <w:rFonts w:hint="eastAsia" w:ascii="仿宋_GB2312" w:hAnsi="仿宋_GB2312" w:eastAsia="仿宋_GB2312" w:cs="仿宋_GB2312"/>
                <w:color w:val="auto"/>
                <w:sz w:val="21"/>
                <w:szCs w:val="21"/>
              </w:rPr>
            </w:pPr>
          </w:p>
        </w:tc>
        <w:tc>
          <w:tcPr>
            <w:tcW w:w="1941" w:type="dxa"/>
            <w:vMerge w:val="restart"/>
            <w:vAlign w:val="center"/>
          </w:tcPr>
          <w:p w14:paraId="0B3806B4">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lang w:val="en-US" w:eastAsia="zh-CN"/>
              </w:rPr>
              <w:t>7</w:t>
            </w:r>
            <w:r>
              <w:rPr>
                <w:rFonts w:hint="eastAsia" w:ascii="仿宋_GB2312" w:hAnsi="仿宋_GB2312" w:eastAsia="仿宋_GB2312" w:cs="仿宋_GB2312"/>
                <w:color w:val="auto"/>
                <w:sz w:val="21"/>
                <w:szCs w:val="21"/>
              </w:rPr>
              <w:t>.每千人口拥有医护人员数</w:t>
            </w:r>
          </w:p>
        </w:tc>
        <w:tc>
          <w:tcPr>
            <w:tcW w:w="1942" w:type="dxa"/>
            <w:vAlign w:val="center"/>
          </w:tcPr>
          <w:p w14:paraId="78253E6E">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执业医师数（人）</w:t>
            </w:r>
          </w:p>
        </w:tc>
        <w:tc>
          <w:tcPr>
            <w:tcW w:w="969" w:type="dxa"/>
            <w:vAlign w:val="center"/>
          </w:tcPr>
          <w:p w14:paraId="7C9F50E0">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3.6</w:t>
            </w:r>
          </w:p>
        </w:tc>
        <w:tc>
          <w:tcPr>
            <w:tcW w:w="1107" w:type="dxa"/>
            <w:vAlign w:val="center"/>
          </w:tcPr>
          <w:p w14:paraId="21C926FA">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3.7</w:t>
            </w:r>
          </w:p>
        </w:tc>
        <w:tc>
          <w:tcPr>
            <w:tcW w:w="1091" w:type="dxa"/>
            <w:vAlign w:val="center"/>
          </w:tcPr>
          <w:p w14:paraId="50892AC9">
            <w:pPr>
              <w:pStyle w:val="141"/>
              <w:jc w:val="center"/>
              <w:rPr>
                <w:rFonts w:hint="default" w:ascii="仿宋_GB2312" w:hAnsi="仿宋_GB2312" w:eastAsia="仿宋_GB2312" w:cs="仿宋_GB2312"/>
                <w:color w:val="auto"/>
                <w:sz w:val="21"/>
                <w:szCs w:val="21"/>
                <w:lang w:val="en-US" w:eastAsia="zh-CN"/>
              </w:rPr>
            </w:pPr>
            <w:r>
              <w:rPr>
                <w:rFonts w:hint="eastAsia" w:ascii="仿宋_GB2312" w:hAnsi="仿宋_GB2312" w:eastAsia="仿宋_GB2312" w:cs="仿宋_GB2312"/>
                <w:color w:val="auto"/>
                <w:sz w:val="21"/>
                <w:szCs w:val="21"/>
              </w:rPr>
              <w:t>—</w:t>
            </w:r>
          </w:p>
        </w:tc>
        <w:tc>
          <w:tcPr>
            <w:tcW w:w="847" w:type="dxa"/>
            <w:vMerge w:val="restart"/>
            <w:vAlign w:val="center"/>
          </w:tcPr>
          <w:p w14:paraId="07168F62">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预期性</w:t>
            </w:r>
          </w:p>
        </w:tc>
      </w:tr>
      <w:tr w14:paraId="0F5C1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91" w:hRule="exact"/>
          <w:tblHeader/>
          <w:jc w:val="center"/>
        </w:trPr>
        <w:tc>
          <w:tcPr>
            <w:tcW w:w="820" w:type="dxa"/>
            <w:vMerge w:val="continue"/>
            <w:vAlign w:val="center"/>
          </w:tcPr>
          <w:p w14:paraId="675FD2F7">
            <w:pPr>
              <w:pStyle w:val="141"/>
              <w:ind w:firstLine="420"/>
              <w:jc w:val="center"/>
              <w:rPr>
                <w:rFonts w:hint="eastAsia" w:ascii="仿宋_GB2312" w:hAnsi="仿宋_GB2312" w:eastAsia="仿宋_GB2312" w:cs="仿宋_GB2312"/>
                <w:color w:val="auto"/>
                <w:sz w:val="21"/>
                <w:szCs w:val="21"/>
              </w:rPr>
            </w:pPr>
          </w:p>
        </w:tc>
        <w:tc>
          <w:tcPr>
            <w:tcW w:w="1941" w:type="dxa"/>
            <w:vMerge w:val="continue"/>
            <w:vAlign w:val="center"/>
          </w:tcPr>
          <w:p w14:paraId="39D757C1">
            <w:pPr>
              <w:pStyle w:val="141"/>
              <w:ind w:firstLine="420"/>
              <w:rPr>
                <w:rFonts w:hint="eastAsia" w:ascii="仿宋_GB2312" w:hAnsi="仿宋_GB2312" w:eastAsia="仿宋_GB2312" w:cs="仿宋_GB2312"/>
                <w:color w:val="auto"/>
                <w:sz w:val="21"/>
                <w:szCs w:val="21"/>
              </w:rPr>
            </w:pPr>
          </w:p>
        </w:tc>
        <w:tc>
          <w:tcPr>
            <w:tcW w:w="1942" w:type="dxa"/>
            <w:vAlign w:val="center"/>
          </w:tcPr>
          <w:p w14:paraId="62D18C6E">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注册护士数（人）</w:t>
            </w:r>
          </w:p>
        </w:tc>
        <w:tc>
          <w:tcPr>
            <w:tcW w:w="969" w:type="dxa"/>
            <w:vAlign w:val="center"/>
          </w:tcPr>
          <w:p w14:paraId="11B62C4F">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4.3</w:t>
            </w:r>
          </w:p>
        </w:tc>
        <w:tc>
          <w:tcPr>
            <w:tcW w:w="1107" w:type="dxa"/>
            <w:vAlign w:val="center"/>
          </w:tcPr>
          <w:p w14:paraId="5F83085E">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4.5</w:t>
            </w:r>
          </w:p>
        </w:tc>
        <w:tc>
          <w:tcPr>
            <w:tcW w:w="1091" w:type="dxa"/>
            <w:vAlign w:val="center"/>
          </w:tcPr>
          <w:p w14:paraId="7232DE65">
            <w:pPr>
              <w:pStyle w:val="141"/>
              <w:jc w:val="center"/>
              <w:rPr>
                <w:rFonts w:hint="default" w:ascii="仿宋_GB2312" w:hAnsi="仿宋_GB2312" w:eastAsia="仿宋_GB2312" w:cs="仿宋_GB2312"/>
                <w:color w:val="auto"/>
                <w:sz w:val="21"/>
                <w:szCs w:val="21"/>
                <w:lang w:val="en-US" w:eastAsia="zh-CN"/>
              </w:rPr>
            </w:pPr>
            <w:r>
              <w:rPr>
                <w:rFonts w:hint="eastAsia" w:ascii="仿宋_GB2312" w:hAnsi="仿宋_GB2312" w:eastAsia="仿宋_GB2312" w:cs="仿宋_GB2312"/>
                <w:color w:val="auto"/>
                <w:sz w:val="21"/>
                <w:szCs w:val="21"/>
              </w:rPr>
              <w:t>—</w:t>
            </w:r>
          </w:p>
        </w:tc>
        <w:tc>
          <w:tcPr>
            <w:tcW w:w="847" w:type="dxa"/>
            <w:vMerge w:val="continue"/>
            <w:vAlign w:val="center"/>
          </w:tcPr>
          <w:p w14:paraId="1CEEE8A4">
            <w:pPr>
              <w:pStyle w:val="141"/>
              <w:ind w:firstLine="420"/>
              <w:jc w:val="center"/>
              <w:rPr>
                <w:rFonts w:hint="eastAsia" w:ascii="仿宋_GB2312" w:hAnsi="仿宋_GB2312" w:eastAsia="仿宋_GB2312" w:cs="仿宋_GB2312"/>
                <w:color w:val="auto"/>
                <w:sz w:val="21"/>
                <w:szCs w:val="21"/>
              </w:rPr>
            </w:pPr>
          </w:p>
        </w:tc>
      </w:tr>
      <w:tr w14:paraId="41B1B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85" w:hRule="atLeast"/>
          <w:tblHeader/>
          <w:jc w:val="center"/>
        </w:trPr>
        <w:tc>
          <w:tcPr>
            <w:tcW w:w="820" w:type="dxa"/>
            <w:vMerge w:val="continue"/>
            <w:vAlign w:val="center"/>
          </w:tcPr>
          <w:p w14:paraId="12D9D334">
            <w:pPr>
              <w:pStyle w:val="141"/>
              <w:ind w:firstLine="420"/>
              <w:jc w:val="center"/>
              <w:rPr>
                <w:rFonts w:hint="eastAsia" w:ascii="仿宋_GB2312" w:hAnsi="仿宋_GB2312" w:eastAsia="仿宋_GB2312" w:cs="仿宋_GB2312"/>
                <w:color w:val="auto"/>
                <w:sz w:val="21"/>
                <w:szCs w:val="21"/>
              </w:rPr>
            </w:pPr>
          </w:p>
        </w:tc>
        <w:tc>
          <w:tcPr>
            <w:tcW w:w="3883" w:type="dxa"/>
            <w:gridSpan w:val="2"/>
            <w:vAlign w:val="center"/>
          </w:tcPr>
          <w:p w14:paraId="059CCA5B">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lang w:val="en-US" w:eastAsia="zh-CN"/>
              </w:rPr>
              <w:t>8</w:t>
            </w:r>
            <w:r>
              <w:rPr>
                <w:rFonts w:hint="eastAsia" w:ascii="仿宋_GB2312" w:hAnsi="仿宋_GB2312" w:eastAsia="仿宋_GB2312" w:cs="仿宋_GB2312"/>
                <w:color w:val="auto"/>
                <w:sz w:val="21"/>
                <w:szCs w:val="21"/>
              </w:rPr>
              <w:t>.养老机构护理型床位占比（%）</w:t>
            </w:r>
          </w:p>
        </w:tc>
        <w:tc>
          <w:tcPr>
            <w:tcW w:w="969" w:type="dxa"/>
            <w:vAlign w:val="center"/>
          </w:tcPr>
          <w:p w14:paraId="1CBFB2C1">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55</w:t>
            </w:r>
          </w:p>
        </w:tc>
        <w:tc>
          <w:tcPr>
            <w:tcW w:w="1107" w:type="dxa"/>
            <w:vAlign w:val="center"/>
          </w:tcPr>
          <w:p w14:paraId="3B5C4DD6">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70</w:t>
            </w:r>
          </w:p>
        </w:tc>
        <w:tc>
          <w:tcPr>
            <w:tcW w:w="1091" w:type="dxa"/>
            <w:vAlign w:val="center"/>
          </w:tcPr>
          <w:p w14:paraId="35156BAC">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847" w:type="dxa"/>
            <w:vAlign w:val="center"/>
          </w:tcPr>
          <w:p w14:paraId="3D595B81">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预期性</w:t>
            </w:r>
          </w:p>
        </w:tc>
      </w:tr>
      <w:tr w14:paraId="38A99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85" w:hRule="atLeast"/>
          <w:tblHeader/>
          <w:jc w:val="center"/>
        </w:trPr>
        <w:tc>
          <w:tcPr>
            <w:tcW w:w="820" w:type="dxa"/>
            <w:vMerge w:val="continue"/>
            <w:vAlign w:val="center"/>
          </w:tcPr>
          <w:p w14:paraId="27160A03">
            <w:pPr>
              <w:pStyle w:val="141"/>
              <w:ind w:firstLine="420"/>
              <w:jc w:val="center"/>
              <w:rPr>
                <w:rFonts w:hint="eastAsia" w:ascii="仿宋_GB2312" w:hAnsi="仿宋_GB2312" w:eastAsia="仿宋_GB2312" w:cs="仿宋_GB2312"/>
                <w:color w:val="auto"/>
                <w:sz w:val="21"/>
                <w:szCs w:val="21"/>
              </w:rPr>
            </w:pPr>
          </w:p>
        </w:tc>
        <w:tc>
          <w:tcPr>
            <w:tcW w:w="3883" w:type="dxa"/>
            <w:gridSpan w:val="2"/>
            <w:vAlign w:val="center"/>
          </w:tcPr>
          <w:p w14:paraId="5F7BD77E">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lang w:val="en-US" w:eastAsia="zh-CN"/>
              </w:rPr>
              <w:t>9</w:t>
            </w:r>
            <w:r>
              <w:rPr>
                <w:rFonts w:hint="eastAsia" w:ascii="仿宋_GB2312" w:hAnsi="仿宋_GB2312" w:eastAsia="仿宋_GB2312" w:cs="仿宋_GB2312"/>
                <w:color w:val="auto"/>
                <w:sz w:val="21"/>
                <w:szCs w:val="21"/>
              </w:rPr>
              <w:t>.3岁以下婴幼儿入托率提高（百分点）</w:t>
            </w:r>
          </w:p>
        </w:tc>
        <w:tc>
          <w:tcPr>
            <w:tcW w:w="969" w:type="dxa"/>
            <w:vAlign w:val="center"/>
          </w:tcPr>
          <w:p w14:paraId="36795573">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1107" w:type="dxa"/>
            <w:vAlign w:val="center"/>
          </w:tcPr>
          <w:p w14:paraId="6D3BE119">
            <w:pPr>
              <w:pStyle w:val="141"/>
              <w:jc w:val="center"/>
              <w:rPr>
                <w:rFonts w:hint="default" w:ascii="仿宋_GB2312" w:hAnsi="仿宋_GB2312" w:eastAsia="仿宋_GB2312" w:cs="仿宋_GB2312"/>
                <w:color w:val="auto"/>
                <w:sz w:val="21"/>
                <w:szCs w:val="21"/>
                <w:lang w:val="en-US" w:eastAsia="zh-CN"/>
              </w:rPr>
            </w:pPr>
            <w:r>
              <w:rPr>
                <w:rFonts w:hint="eastAsia" w:ascii="仿宋_GB2312" w:hAnsi="仿宋_GB2312" w:eastAsia="仿宋_GB2312" w:cs="仿宋_GB2312"/>
                <w:color w:val="auto"/>
                <w:sz w:val="21"/>
                <w:szCs w:val="21"/>
              </w:rPr>
              <w:t>—</w:t>
            </w:r>
          </w:p>
        </w:tc>
        <w:tc>
          <w:tcPr>
            <w:tcW w:w="1091" w:type="dxa"/>
            <w:vAlign w:val="center"/>
          </w:tcPr>
          <w:p w14:paraId="0A1F73F5">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r>
              <w:rPr>
                <w:rFonts w:hint="eastAsia" w:ascii="仿宋_GB2312" w:hAnsi="仿宋_GB2312" w:eastAsia="仿宋_GB2312" w:cs="仿宋_GB2312"/>
                <w:color w:val="auto"/>
                <w:sz w:val="21"/>
                <w:szCs w:val="21"/>
                <w:lang w:val="en-US" w:eastAsia="zh-CN"/>
              </w:rPr>
              <w:t>6</w:t>
            </w:r>
            <w:r>
              <w:rPr>
                <w:rFonts w:hint="eastAsia" w:ascii="仿宋_GB2312" w:hAnsi="仿宋_GB2312" w:eastAsia="仿宋_GB2312" w:cs="仿宋_GB2312"/>
                <w:color w:val="auto"/>
                <w:sz w:val="21"/>
                <w:szCs w:val="21"/>
              </w:rPr>
              <w:t>]</w:t>
            </w:r>
          </w:p>
        </w:tc>
        <w:tc>
          <w:tcPr>
            <w:tcW w:w="847" w:type="dxa"/>
            <w:vAlign w:val="center"/>
          </w:tcPr>
          <w:p w14:paraId="44718152">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预期性</w:t>
            </w:r>
          </w:p>
        </w:tc>
      </w:tr>
      <w:tr w14:paraId="7C48A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50" w:hRule="atLeast"/>
          <w:tblHeader/>
          <w:jc w:val="center"/>
        </w:trPr>
        <w:tc>
          <w:tcPr>
            <w:tcW w:w="820" w:type="dxa"/>
            <w:vMerge w:val="continue"/>
            <w:vAlign w:val="center"/>
          </w:tcPr>
          <w:p w14:paraId="57550AAB">
            <w:pPr>
              <w:pStyle w:val="141"/>
              <w:ind w:firstLine="420"/>
              <w:jc w:val="center"/>
              <w:rPr>
                <w:rFonts w:hint="eastAsia" w:ascii="仿宋_GB2312" w:hAnsi="仿宋_GB2312" w:eastAsia="仿宋_GB2312" w:cs="仿宋_GB2312"/>
                <w:color w:val="auto"/>
                <w:sz w:val="21"/>
                <w:szCs w:val="21"/>
              </w:rPr>
            </w:pPr>
          </w:p>
        </w:tc>
        <w:tc>
          <w:tcPr>
            <w:tcW w:w="3883" w:type="dxa"/>
            <w:gridSpan w:val="2"/>
            <w:vAlign w:val="center"/>
          </w:tcPr>
          <w:p w14:paraId="373DA59F">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1</w:t>
            </w:r>
            <w:r>
              <w:rPr>
                <w:rFonts w:hint="eastAsia" w:ascii="仿宋_GB2312" w:hAnsi="仿宋_GB2312" w:eastAsia="仿宋_GB2312" w:cs="仿宋_GB2312"/>
                <w:color w:val="auto"/>
                <w:sz w:val="21"/>
                <w:szCs w:val="21"/>
                <w:lang w:val="en-US" w:eastAsia="zh-CN"/>
              </w:rPr>
              <w:t>0</w:t>
            </w:r>
            <w:r>
              <w:rPr>
                <w:rFonts w:hint="eastAsia" w:ascii="仿宋_GB2312" w:hAnsi="仿宋_GB2312" w:eastAsia="仿宋_GB2312" w:cs="仿宋_GB2312"/>
                <w:color w:val="auto"/>
                <w:sz w:val="21"/>
                <w:szCs w:val="21"/>
              </w:rPr>
              <w:t>.人均预期寿命（岁）</w:t>
            </w:r>
          </w:p>
        </w:tc>
        <w:tc>
          <w:tcPr>
            <w:tcW w:w="969" w:type="dxa"/>
            <w:vAlign w:val="center"/>
          </w:tcPr>
          <w:p w14:paraId="3B81B63B">
            <w:pPr>
              <w:pStyle w:val="141"/>
              <w:jc w:val="center"/>
              <w:rPr>
                <w:rFonts w:hint="eastAsia" w:ascii="仿宋_GB2312" w:hAnsi="仿宋_GB2312" w:eastAsia="仿宋_GB2312" w:cs="仿宋_GB2312"/>
                <w:color w:val="auto"/>
                <w:sz w:val="21"/>
                <w:szCs w:val="21"/>
                <w:highlight w:val="yellow"/>
              </w:rPr>
            </w:pPr>
            <w:r>
              <w:rPr>
                <w:rFonts w:hint="eastAsia" w:ascii="仿宋_GB2312" w:hAnsi="仿宋_GB2312" w:eastAsia="仿宋_GB2312" w:cs="仿宋_GB2312"/>
                <w:color w:val="auto"/>
                <w:sz w:val="21"/>
                <w:szCs w:val="21"/>
              </w:rPr>
              <w:t>—</w:t>
            </w:r>
          </w:p>
        </w:tc>
        <w:tc>
          <w:tcPr>
            <w:tcW w:w="1107" w:type="dxa"/>
            <w:vAlign w:val="center"/>
          </w:tcPr>
          <w:p w14:paraId="7411CE2A">
            <w:pPr>
              <w:pStyle w:val="141"/>
              <w:jc w:val="center"/>
              <w:rPr>
                <w:rFonts w:hint="eastAsia" w:ascii="仿宋_GB2312" w:hAnsi="仿宋_GB2312" w:eastAsia="仿宋_GB2312" w:cs="仿宋_GB2312"/>
                <w:color w:val="auto"/>
                <w:sz w:val="21"/>
                <w:szCs w:val="21"/>
                <w:highlight w:val="yellow"/>
              </w:rPr>
            </w:pPr>
            <w:r>
              <w:rPr>
                <w:rFonts w:hint="eastAsia" w:ascii="仿宋_GB2312" w:hAnsi="仿宋_GB2312" w:eastAsia="仿宋_GB2312" w:cs="仿宋_GB2312"/>
                <w:color w:val="auto"/>
                <w:sz w:val="21"/>
                <w:szCs w:val="21"/>
              </w:rPr>
              <w:t>81</w:t>
            </w:r>
          </w:p>
        </w:tc>
        <w:tc>
          <w:tcPr>
            <w:tcW w:w="1091" w:type="dxa"/>
            <w:vAlign w:val="center"/>
          </w:tcPr>
          <w:p w14:paraId="3699F5B9">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847" w:type="dxa"/>
            <w:vAlign w:val="center"/>
          </w:tcPr>
          <w:p w14:paraId="29BB6C6F">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预期性</w:t>
            </w:r>
          </w:p>
        </w:tc>
      </w:tr>
      <w:tr w14:paraId="445B2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00" w:hRule="atLeast"/>
          <w:tblHeader/>
          <w:jc w:val="center"/>
        </w:trPr>
        <w:tc>
          <w:tcPr>
            <w:tcW w:w="820" w:type="dxa"/>
            <w:vMerge w:val="restart"/>
            <w:vAlign w:val="center"/>
          </w:tcPr>
          <w:p w14:paraId="61734A22">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绿色</w:t>
            </w:r>
          </w:p>
          <w:p w14:paraId="604D59F3">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低碳</w:t>
            </w:r>
          </w:p>
        </w:tc>
        <w:tc>
          <w:tcPr>
            <w:tcW w:w="3883" w:type="dxa"/>
            <w:gridSpan w:val="2"/>
            <w:vAlign w:val="center"/>
          </w:tcPr>
          <w:p w14:paraId="66A53EC4">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1</w:t>
            </w:r>
            <w:r>
              <w:rPr>
                <w:rFonts w:hint="eastAsia" w:ascii="仿宋_GB2312" w:hAnsi="仿宋_GB2312" w:eastAsia="仿宋_GB2312" w:cs="仿宋_GB2312"/>
                <w:color w:val="auto"/>
                <w:sz w:val="21"/>
                <w:szCs w:val="21"/>
                <w:lang w:val="en-US" w:eastAsia="zh-CN"/>
              </w:rPr>
              <w:t>1</w:t>
            </w:r>
            <w:r>
              <w:rPr>
                <w:rFonts w:hint="eastAsia" w:ascii="仿宋_GB2312" w:hAnsi="仿宋_GB2312" w:eastAsia="仿宋_GB2312" w:cs="仿宋_GB2312"/>
                <w:color w:val="auto"/>
                <w:sz w:val="21"/>
                <w:szCs w:val="21"/>
              </w:rPr>
              <w:t>.单位GDP二氧化碳排放降低（%）</w:t>
            </w:r>
          </w:p>
        </w:tc>
        <w:tc>
          <w:tcPr>
            <w:tcW w:w="969" w:type="dxa"/>
            <w:vAlign w:val="center"/>
          </w:tcPr>
          <w:p w14:paraId="6A67F62C">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1107" w:type="dxa"/>
            <w:vAlign w:val="center"/>
          </w:tcPr>
          <w:p w14:paraId="5B0D17D3">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1091" w:type="dxa"/>
            <w:vAlign w:val="center"/>
          </w:tcPr>
          <w:p w14:paraId="38EA1443">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[达到市要求]*</w:t>
            </w:r>
          </w:p>
        </w:tc>
        <w:tc>
          <w:tcPr>
            <w:tcW w:w="847" w:type="dxa"/>
            <w:vAlign w:val="center"/>
          </w:tcPr>
          <w:p w14:paraId="3A565442">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约束性</w:t>
            </w:r>
          </w:p>
        </w:tc>
      </w:tr>
      <w:tr w14:paraId="2982A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00" w:hRule="atLeast"/>
          <w:tblHeader/>
          <w:jc w:val="center"/>
        </w:trPr>
        <w:tc>
          <w:tcPr>
            <w:tcW w:w="820" w:type="dxa"/>
            <w:vMerge w:val="continue"/>
            <w:vAlign w:val="center"/>
          </w:tcPr>
          <w:p w14:paraId="4F7ABC73">
            <w:pPr>
              <w:pStyle w:val="141"/>
              <w:ind w:firstLine="420"/>
              <w:jc w:val="center"/>
              <w:rPr>
                <w:rFonts w:hint="eastAsia" w:ascii="仿宋_GB2312" w:hAnsi="仿宋_GB2312" w:eastAsia="仿宋_GB2312" w:cs="仿宋_GB2312"/>
                <w:color w:val="auto"/>
                <w:sz w:val="21"/>
                <w:szCs w:val="21"/>
              </w:rPr>
            </w:pPr>
          </w:p>
        </w:tc>
        <w:tc>
          <w:tcPr>
            <w:tcW w:w="3883" w:type="dxa"/>
            <w:gridSpan w:val="2"/>
            <w:vAlign w:val="center"/>
          </w:tcPr>
          <w:p w14:paraId="34AF277F">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1</w:t>
            </w:r>
            <w:r>
              <w:rPr>
                <w:rFonts w:hint="eastAsia" w:ascii="仿宋_GB2312" w:hAnsi="仿宋_GB2312" w:eastAsia="仿宋_GB2312" w:cs="仿宋_GB2312"/>
                <w:color w:val="auto"/>
                <w:sz w:val="21"/>
                <w:szCs w:val="21"/>
                <w:lang w:val="en-US" w:eastAsia="zh-CN"/>
              </w:rPr>
              <w:t>2</w:t>
            </w:r>
            <w:r>
              <w:rPr>
                <w:rFonts w:hint="eastAsia" w:ascii="仿宋_GB2312" w:hAnsi="仿宋_GB2312" w:eastAsia="仿宋_GB2312" w:cs="仿宋_GB2312"/>
                <w:color w:val="auto"/>
                <w:sz w:val="21"/>
                <w:szCs w:val="21"/>
              </w:rPr>
              <w:t>.非化石能源占能源消费总量比重（%）</w:t>
            </w:r>
          </w:p>
        </w:tc>
        <w:tc>
          <w:tcPr>
            <w:tcW w:w="969" w:type="dxa"/>
            <w:vAlign w:val="center"/>
          </w:tcPr>
          <w:p w14:paraId="606A99D1">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2</w:t>
            </w:r>
          </w:p>
        </w:tc>
        <w:tc>
          <w:tcPr>
            <w:tcW w:w="1107" w:type="dxa"/>
            <w:vAlign w:val="center"/>
          </w:tcPr>
          <w:p w14:paraId="6EF962FA">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4以上</w:t>
            </w:r>
          </w:p>
        </w:tc>
        <w:tc>
          <w:tcPr>
            <w:tcW w:w="1091" w:type="dxa"/>
            <w:vAlign w:val="center"/>
          </w:tcPr>
          <w:p w14:paraId="3A7339D9">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847" w:type="dxa"/>
            <w:vAlign w:val="center"/>
          </w:tcPr>
          <w:p w14:paraId="53E51964">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约束性</w:t>
            </w:r>
          </w:p>
        </w:tc>
      </w:tr>
      <w:tr w14:paraId="02FCD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560" w:hRule="atLeast"/>
          <w:tblHeader/>
          <w:jc w:val="center"/>
        </w:trPr>
        <w:tc>
          <w:tcPr>
            <w:tcW w:w="820" w:type="dxa"/>
            <w:vMerge w:val="continue"/>
            <w:vAlign w:val="center"/>
          </w:tcPr>
          <w:p w14:paraId="14A75051">
            <w:pPr>
              <w:pStyle w:val="141"/>
              <w:ind w:firstLine="420"/>
              <w:jc w:val="center"/>
              <w:rPr>
                <w:rFonts w:hint="eastAsia" w:ascii="仿宋_GB2312" w:hAnsi="仿宋_GB2312" w:eastAsia="仿宋_GB2312" w:cs="仿宋_GB2312"/>
                <w:color w:val="auto"/>
                <w:sz w:val="21"/>
                <w:szCs w:val="21"/>
              </w:rPr>
            </w:pPr>
          </w:p>
        </w:tc>
        <w:tc>
          <w:tcPr>
            <w:tcW w:w="3883" w:type="dxa"/>
            <w:gridSpan w:val="2"/>
            <w:vAlign w:val="center"/>
          </w:tcPr>
          <w:p w14:paraId="29D113C9">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1</w:t>
            </w:r>
            <w:r>
              <w:rPr>
                <w:rFonts w:hint="eastAsia" w:ascii="仿宋_GB2312" w:hAnsi="仿宋_GB2312" w:eastAsia="仿宋_GB2312" w:cs="仿宋_GB2312"/>
                <w:color w:val="auto"/>
                <w:sz w:val="21"/>
                <w:szCs w:val="21"/>
                <w:lang w:val="en-US" w:eastAsia="zh-CN"/>
              </w:rPr>
              <w:t>3</w:t>
            </w:r>
            <w:r>
              <w:rPr>
                <w:rFonts w:hint="eastAsia" w:ascii="仿宋_GB2312" w:hAnsi="仿宋_GB2312" w:eastAsia="仿宋_GB2312" w:cs="仿宋_GB2312"/>
                <w:color w:val="auto"/>
                <w:sz w:val="21"/>
                <w:szCs w:val="21"/>
              </w:rPr>
              <w:t>.细颗粒物（PM2.5）浓度（微克/立方米）</w:t>
            </w:r>
          </w:p>
        </w:tc>
        <w:tc>
          <w:tcPr>
            <w:tcW w:w="969" w:type="dxa"/>
            <w:vAlign w:val="center"/>
          </w:tcPr>
          <w:p w14:paraId="340D8BA1">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33</w:t>
            </w:r>
          </w:p>
        </w:tc>
        <w:tc>
          <w:tcPr>
            <w:tcW w:w="1107" w:type="dxa"/>
            <w:vAlign w:val="center"/>
          </w:tcPr>
          <w:p w14:paraId="08545380">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市下达*</w:t>
            </w:r>
          </w:p>
        </w:tc>
        <w:tc>
          <w:tcPr>
            <w:tcW w:w="1091" w:type="dxa"/>
            <w:vAlign w:val="center"/>
          </w:tcPr>
          <w:p w14:paraId="27EEC833">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847" w:type="dxa"/>
            <w:vAlign w:val="center"/>
          </w:tcPr>
          <w:p w14:paraId="78043913">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约束性</w:t>
            </w:r>
          </w:p>
        </w:tc>
      </w:tr>
      <w:tr w14:paraId="3E9CC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85" w:hRule="atLeast"/>
          <w:tblHeader/>
          <w:jc w:val="center"/>
        </w:trPr>
        <w:tc>
          <w:tcPr>
            <w:tcW w:w="820" w:type="dxa"/>
            <w:vMerge w:val="continue"/>
            <w:vAlign w:val="center"/>
          </w:tcPr>
          <w:p w14:paraId="7756CE60">
            <w:pPr>
              <w:pStyle w:val="141"/>
              <w:ind w:firstLine="420"/>
              <w:jc w:val="center"/>
              <w:rPr>
                <w:rFonts w:hint="eastAsia" w:ascii="仿宋_GB2312" w:hAnsi="仿宋_GB2312" w:eastAsia="仿宋_GB2312" w:cs="仿宋_GB2312"/>
                <w:color w:val="auto"/>
                <w:sz w:val="21"/>
                <w:szCs w:val="21"/>
              </w:rPr>
            </w:pPr>
          </w:p>
        </w:tc>
        <w:tc>
          <w:tcPr>
            <w:tcW w:w="3883" w:type="dxa"/>
            <w:gridSpan w:val="2"/>
            <w:vAlign w:val="center"/>
          </w:tcPr>
          <w:p w14:paraId="62161F9F">
            <w:pPr>
              <w:pStyle w:val="141"/>
              <w:ind w:left="420" w:hanging="420" w:hangingChars="200"/>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1</w:t>
            </w:r>
            <w:r>
              <w:rPr>
                <w:rFonts w:hint="eastAsia" w:ascii="仿宋_GB2312" w:hAnsi="仿宋_GB2312" w:eastAsia="仿宋_GB2312" w:cs="仿宋_GB2312"/>
                <w:color w:val="auto"/>
                <w:sz w:val="21"/>
                <w:szCs w:val="21"/>
                <w:lang w:val="en-US" w:eastAsia="zh-CN"/>
              </w:rPr>
              <w:t>4</w:t>
            </w:r>
            <w:r>
              <w:rPr>
                <w:rFonts w:hint="eastAsia" w:ascii="仿宋_GB2312" w:hAnsi="仿宋_GB2312" w:eastAsia="仿宋_GB2312" w:cs="仿宋_GB2312"/>
                <w:color w:val="auto"/>
                <w:sz w:val="21"/>
                <w:szCs w:val="21"/>
              </w:rPr>
              <w:t>.优良水体比例（%）</w:t>
            </w:r>
          </w:p>
        </w:tc>
        <w:tc>
          <w:tcPr>
            <w:tcW w:w="969" w:type="dxa"/>
            <w:vAlign w:val="center"/>
          </w:tcPr>
          <w:p w14:paraId="5CF316A4">
            <w:pPr>
              <w:pStyle w:val="141"/>
              <w:jc w:val="center"/>
              <w:rPr>
                <w:rFonts w:hint="default" w:ascii="仿宋_GB2312" w:hAnsi="仿宋_GB2312" w:eastAsia="仿宋_GB2312" w:cs="仿宋_GB2312"/>
                <w:color w:val="auto"/>
                <w:sz w:val="21"/>
                <w:szCs w:val="21"/>
                <w:lang w:val="en-US" w:eastAsia="zh-CN"/>
              </w:rPr>
            </w:pPr>
            <w:r>
              <w:rPr>
                <w:rFonts w:hint="eastAsia" w:ascii="仿宋_GB2312" w:hAnsi="仿宋_GB2312" w:eastAsia="仿宋_GB2312" w:cs="仿宋_GB2312"/>
                <w:color w:val="auto"/>
                <w:sz w:val="21"/>
                <w:szCs w:val="21"/>
              </w:rPr>
              <w:t>—</w:t>
            </w:r>
          </w:p>
        </w:tc>
        <w:tc>
          <w:tcPr>
            <w:tcW w:w="1107" w:type="dxa"/>
            <w:vAlign w:val="center"/>
          </w:tcPr>
          <w:p w14:paraId="432BC172">
            <w:pPr>
              <w:pStyle w:val="141"/>
              <w:jc w:val="center"/>
              <w:rPr>
                <w:rFonts w:hint="eastAsia" w:ascii="仿宋_GB2312" w:hAnsi="仿宋_GB2312" w:eastAsia="仿宋_GB2312" w:cs="仿宋_GB2312"/>
                <w:color w:val="auto"/>
                <w:sz w:val="21"/>
                <w:szCs w:val="21"/>
                <w:highlight w:val="yellow"/>
              </w:rPr>
            </w:pPr>
            <w:r>
              <w:rPr>
                <w:rFonts w:hint="eastAsia" w:ascii="仿宋_GB2312" w:hAnsi="仿宋_GB2312" w:eastAsia="仿宋_GB2312" w:cs="仿宋_GB2312"/>
                <w:color w:val="auto"/>
                <w:sz w:val="21"/>
                <w:szCs w:val="21"/>
              </w:rPr>
              <w:t>市下达*</w:t>
            </w:r>
          </w:p>
        </w:tc>
        <w:tc>
          <w:tcPr>
            <w:tcW w:w="1091" w:type="dxa"/>
            <w:vAlign w:val="center"/>
          </w:tcPr>
          <w:p w14:paraId="01263689">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847" w:type="dxa"/>
            <w:vAlign w:val="center"/>
          </w:tcPr>
          <w:p w14:paraId="47AB0C10">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约束性</w:t>
            </w:r>
          </w:p>
        </w:tc>
      </w:tr>
      <w:tr w14:paraId="57568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600" w:hRule="atLeast"/>
          <w:tblHeader/>
          <w:jc w:val="center"/>
        </w:trPr>
        <w:tc>
          <w:tcPr>
            <w:tcW w:w="820" w:type="dxa"/>
            <w:vMerge w:val="continue"/>
            <w:vAlign w:val="center"/>
          </w:tcPr>
          <w:p w14:paraId="1831E87E">
            <w:pPr>
              <w:pStyle w:val="141"/>
              <w:ind w:firstLine="420"/>
              <w:jc w:val="center"/>
              <w:rPr>
                <w:rFonts w:hint="eastAsia" w:ascii="仿宋_GB2312" w:hAnsi="仿宋_GB2312" w:eastAsia="仿宋_GB2312" w:cs="仿宋_GB2312"/>
                <w:color w:val="auto"/>
                <w:sz w:val="21"/>
                <w:szCs w:val="21"/>
              </w:rPr>
            </w:pPr>
          </w:p>
        </w:tc>
        <w:tc>
          <w:tcPr>
            <w:tcW w:w="3883" w:type="dxa"/>
            <w:gridSpan w:val="2"/>
            <w:vAlign w:val="center"/>
          </w:tcPr>
          <w:p w14:paraId="366D1812">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1</w:t>
            </w:r>
            <w:r>
              <w:rPr>
                <w:rFonts w:hint="eastAsia" w:ascii="仿宋_GB2312" w:hAnsi="仿宋_GB2312" w:eastAsia="仿宋_GB2312" w:cs="仿宋_GB2312"/>
                <w:color w:val="auto"/>
                <w:sz w:val="21"/>
                <w:szCs w:val="21"/>
                <w:lang w:val="en-US" w:eastAsia="zh-CN"/>
              </w:rPr>
              <w:t>5</w:t>
            </w:r>
            <w:r>
              <w:rPr>
                <w:rFonts w:hint="eastAsia" w:ascii="仿宋_GB2312" w:hAnsi="仿宋_GB2312" w:eastAsia="仿宋_GB2312" w:cs="仿宋_GB2312"/>
                <w:color w:val="auto"/>
                <w:sz w:val="21"/>
                <w:szCs w:val="21"/>
              </w:rPr>
              <w:t>.森林覆盖率（%）</w:t>
            </w:r>
          </w:p>
        </w:tc>
        <w:tc>
          <w:tcPr>
            <w:tcW w:w="969" w:type="dxa"/>
            <w:vAlign w:val="center"/>
          </w:tcPr>
          <w:p w14:paraId="2D3DD59B">
            <w:pPr>
              <w:pStyle w:val="141"/>
              <w:jc w:val="center"/>
              <w:rPr>
                <w:rFonts w:hint="default" w:ascii="仿宋_GB2312" w:hAnsi="仿宋_GB2312" w:eastAsia="仿宋_GB2312" w:cs="仿宋_GB2312"/>
                <w:color w:val="auto"/>
                <w:sz w:val="21"/>
                <w:szCs w:val="21"/>
                <w:lang w:val="en-US" w:eastAsia="zh-CN"/>
              </w:rPr>
            </w:pPr>
            <w:r>
              <w:rPr>
                <w:rFonts w:hint="eastAsia" w:ascii="仿宋_GB2312" w:hAnsi="仿宋_GB2312" w:eastAsia="仿宋_GB2312" w:cs="仿宋_GB2312"/>
                <w:color w:val="auto"/>
                <w:sz w:val="21"/>
                <w:szCs w:val="21"/>
              </w:rPr>
              <w:t>—</w:t>
            </w:r>
          </w:p>
        </w:tc>
        <w:tc>
          <w:tcPr>
            <w:tcW w:w="1107" w:type="dxa"/>
            <w:vAlign w:val="center"/>
          </w:tcPr>
          <w:p w14:paraId="097DD630">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达到市要求*</w:t>
            </w:r>
          </w:p>
        </w:tc>
        <w:tc>
          <w:tcPr>
            <w:tcW w:w="1091" w:type="dxa"/>
            <w:vAlign w:val="center"/>
          </w:tcPr>
          <w:p w14:paraId="09151C9A">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847" w:type="dxa"/>
            <w:vAlign w:val="center"/>
          </w:tcPr>
          <w:p w14:paraId="3ADF4174">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约束性</w:t>
            </w:r>
          </w:p>
        </w:tc>
      </w:tr>
      <w:tr w14:paraId="0494B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91" w:hRule="exact"/>
          <w:tblHeader/>
          <w:jc w:val="center"/>
        </w:trPr>
        <w:tc>
          <w:tcPr>
            <w:tcW w:w="820" w:type="dxa"/>
            <w:vMerge w:val="restart"/>
            <w:vAlign w:val="center"/>
          </w:tcPr>
          <w:p w14:paraId="30399A8A">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安全</w:t>
            </w:r>
          </w:p>
          <w:p w14:paraId="366E8022">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保障</w:t>
            </w:r>
          </w:p>
        </w:tc>
        <w:tc>
          <w:tcPr>
            <w:tcW w:w="3883" w:type="dxa"/>
            <w:gridSpan w:val="2"/>
            <w:vAlign w:val="center"/>
          </w:tcPr>
          <w:p w14:paraId="43766219">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lang w:val="en-US" w:eastAsia="zh-CN"/>
              </w:rPr>
              <w:t>16</w:t>
            </w:r>
            <w:r>
              <w:rPr>
                <w:rFonts w:hint="eastAsia" w:ascii="仿宋_GB2312" w:hAnsi="仿宋_GB2312" w:eastAsia="仿宋_GB2312" w:cs="仿宋_GB2312"/>
                <w:color w:val="auto"/>
                <w:sz w:val="21"/>
                <w:szCs w:val="21"/>
              </w:rPr>
              <w:t>.粮食综合生产能力（亿斤）</w:t>
            </w:r>
          </w:p>
        </w:tc>
        <w:tc>
          <w:tcPr>
            <w:tcW w:w="969" w:type="dxa"/>
            <w:vAlign w:val="center"/>
          </w:tcPr>
          <w:p w14:paraId="615DAB30">
            <w:pPr>
              <w:pStyle w:val="141"/>
              <w:jc w:val="center"/>
              <w:rPr>
                <w:rFonts w:hint="eastAsia" w:ascii="仿宋_GB2312" w:hAnsi="仿宋_GB2312" w:eastAsia="仿宋_GB2312" w:cs="仿宋_GB2312"/>
                <w:color w:val="auto"/>
                <w:sz w:val="21"/>
                <w:szCs w:val="21"/>
                <w:highlight w:val="yellow"/>
              </w:rPr>
            </w:pPr>
            <w:r>
              <w:rPr>
                <w:rFonts w:hint="eastAsia" w:ascii="仿宋_GB2312" w:hAnsi="仿宋_GB2312" w:eastAsia="仿宋_GB2312" w:cs="仿宋_GB2312"/>
                <w:color w:val="auto"/>
                <w:sz w:val="21"/>
                <w:szCs w:val="21"/>
              </w:rPr>
              <w:t>2.43</w:t>
            </w:r>
          </w:p>
        </w:tc>
        <w:tc>
          <w:tcPr>
            <w:tcW w:w="1107" w:type="dxa"/>
            <w:vAlign w:val="center"/>
          </w:tcPr>
          <w:p w14:paraId="210D3899">
            <w:pPr>
              <w:pStyle w:val="141"/>
              <w:jc w:val="center"/>
              <w:rPr>
                <w:rFonts w:hint="eastAsia" w:ascii="仿宋_GB2312" w:hAnsi="仿宋_GB2312" w:eastAsia="仿宋_GB2312" w:cs="仿宋_GB2312"/>
                <w:color w:val="auto"/>
                <w:sz w:val="21"/>
                <w:szCs w:val="21"/>
                <w:highlight w:val="yellow"/>
              </w:rPr>
            </w:pPr>
            <w:r>
              <w:rPr>
                <w:rFonts w:hint="eastAsia" w:ascii="仿宋_GB2312" w:hAnsi="仿宋_GB2312" w:eastAsia="仿宋_GB2312" w:cs="仿宋_GB2312"/>
                <w:color w:val="auto"/>
                <w:sz w:val="21"/>
                <w:szCs w:val="21"/>
              </w:rPr>
              <w:t>市下达*</w:t>
            </w:r>
          </w:p>
        </w:tc>
        <w:tc>
          <w:tcPr>
            <w:tcW w:w="1091" w:type="dxa"/>
            <w:vAlign w:val="center"/>
          </w:tcPr>
          <w:p w14:paraId="743B9D6A">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847" w:type="dxa"/>
            <w:vAlign w:val="center"/>
          </w:tcPr>
          <w:p w14:paraId="0FE5FF0E">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约束性</w:t>
            </w:r>
          </w:p>
        </w:tc>
      </w:tr>
      <w:tr w14:paraId="1F6A6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454" w:hRule="exact"/>
          <w:tblHeader/>
          <w:jc w:val="center"/>
        </w:trPr>
        <w:tc>
          <w:tcPr>
            <w:tcW w:w="820" w:type="dxa"/>
            <w:vMerge w:val="continue"/>
            <w:vAlign w:val="center"/>
          </w:tcPr>
          <w:p w14:paraId="45E9F423">
            <w:pPr>
              <w:pStyle w:val="141"/>
              <w:ind w:firstLine="420"/>
              <w:jc w:val="center"/>
              <w:rPr>
                <w:rFonts w:hint="eastAsia" w:ascii="仿宋_GB2312" w:hAnsi="仿宋_GB2312" w:eastAsia="仿宋_GB2312" w:cs="仿宋_GB2312"/>
                <w:color w:val="auto"/>
                <w:sz w:val="21"/>
                <w:szCs w:val="21"/>
              </w:rPr>
            </w:pPr>
          </w:p>
        </w:tc>
        <w:tc>
          <w:tcPr>
            <w:tcW w:w="3883" w:type="dxa"/>
            <w:gridSpan w:val="2"/>
            <w:vAlign w:val="center"/>
          </w:tcPr>
          <w:p w14:paraId="1700D24A">
            <w:pPr>
              <w:pStyle w:val="141"/>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lang w:val="en-US" w:eastAsia="zh-CN"/>
              </w:rPr>
              <w:t>17</w:t>
            </w:r>
            <w:r>
              <w:rPr>
                <w:rFonts w:hint="eastAsia" w:ascii="仿宋_GB2312" w:hAnsi="仿宋_GB2312" w:eastAsia="仿宋_GB2312" w:cs="仿宋_GB2312"/>
                <w:color w:val="auto"/>
                <w:sz w:val="21"/>
                <w:szCs w:val="21"/>
              </w:rPr>
              <w:t>.能源综合生产能力（万吨标准煤）</w:t>
            </w:r>
          </w:p>
        </w:tc>
        <w:tc>
          <w:tcPr>
            <w:tcW w:w="969" w:type="dxa"/>
            <w:vAlign w:val="center"/>
          </w:tcPr>
          <w:p w14:paraId="6B9E2CDF">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32</w:t>
            </w:r>
          </w:p>
        </w:tc>
        <w:tc>
          <w:tcPr>
            <w:tcW w:w="1107" w:type="dxa"/>
            <w:vAlign w:val="center"/>
          </w:tcPr>
          <w:p w14:paraId="004B9C52">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45</w:t>
            </w:r>
          </w:p>
        </w:tc>
        <w:tc>
          <w:tcPr>
            <w:tcW w:w="1091" w:type="dxa"/>
            <w:vAlign w:val="center"/>
          </w:tcPr>
          <w:p w14:paraId="4CDB5A99">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w:t>
            </w:r>
          </w:p>
        </w:tc>
        <w:tc>
          <w:tcPr>
            <w:tcW w:w="847" w:type="dxa"/>
            <w:vAlign w:val="center"/>
          </w:tcPr>
          <w:p w14:paraId="1B66FB61">
            <w:pPr>
              <w:pStyle w:val="141"/>
              <w:jc w:val="center"/>
              <w:rPr>
                <w:rFonts w:hint="eastAsia" w:ascii="仿宋_GB2312" w:hAnsi="仿宋_GB2312" w:eastAsia="仿宋_GB2312" w:cs="仿宋_GB2312"/>
                <w:color w:val="auto"/>
                <w:sz w:val="21"/>
                <w:szCs w:val="21"/>
              </w:rPr>
            </w:pPr>
            <w:r>
              <w:rPr>
                <w:rFonts w:hint="eastAsia" w:ascii="仿宋_GB2312" w:hAnsi="仿宋_GB2312" w:eastAsia="仿宋_GB2312" w:cs="仿宋_GB2312"/>
                <w:color w:val="auto"/>
                <w:sz w:val="21"/>
                <w:szCs w:val="21"/>
              </w:rPr>
              <w:t>约束性</w:t>
            </w:r>
          </w:p>
        </w:tc>
      </w:tr>
    </w:tbl>
    <w:p w14:paraId="76D458C2">
      <w:pPr>
        <w:keepNext w:val="0"/>
        <w:keepLines w:val="0"/>
        <w:pageBreakBefore w:val="0"/>
        <w:widowControl w:val="0"/>
        <w:kinsoku/>
        <w:wordWrap/>
        <w:overflowPunct/>
        <w:topLinePunct w:val="0"/>
        <w:autoSpaceDE/>
        <w:autoSpaceDN/>
        <w:bidi w:val="0"/>
        <w:adjustRightInd/>
        <w:snapToGrid/>
        <w:spacing w:line="240" w:lineRule="exact"/>
        <w:ind w:firstLine="0" w:firstLineChars="0"/>
        <w:textAlignment w:val="auto"/>
        <w:rPr>
          <w:rFonts w:hint="eastAsia" w:ascii="仿宋_GB2312" w:hAnsi="仿宋_GB2312" w:cs="仿宋_GB2312"/>
          <w:color w:val="auto"/>
          <w:sz w:val="21"/>
          <w:szCs w:val="21"/>
        </w:rPr>
      </w:pPr>
    </w:p>
    <w:p w14:paraId="6DC2379C">
      <w:pPr>
        <w:keepNext w:val="0"/>
        <w:keepLines w:val="0"/>
        <w:pageBreakBefore w:val="0"/>
        <w:widowControl w:val="0"/>
        <w:kinsoku/>
        <w:wordWrap/>
        <w:overflowPunct/>
        <w:topLinePunct w:val="0"/>
        <w:autoSpaceDE/>
        <w:autoSpaceDN/>
        <w:bidi w:val="0"/>
        <w:adjustRightInd/>
        <w:snapToGrid/>
        <w:spacing w:line="240" w:lineRule="exact"/>
        <w:ind w:firstLine="0" w:firstLineChars="0"/>
        <w:textAlignment w:val="auto"/>
        <w:rPr>
          <w:rFonts w:hint="eastAsia" w:ascii="仿宋_GB2312" w:hAnsi="仿宋_GB2312" w:cs="仿宋_GB2312"/>
          <w:color w:val="auto"/>
          <w:sz w:val="21"/>
          <w:szCs w:val="21"/>
        </w:rPr>
      </w:pPr>
      <w:r>
        <w:rPr>
          <w:rFonts w:hint="eastAsia" w:ascii="仿宋_GB2312" w:hAnsi="仿宋_GB2312" w:cs="仿宋_GB2312"/>
          <w:color w:val="auto"/>
          <w:sz w:val="21"/>
          <w:szCs w:val="21"/>
        </w:rPr>
        <w:t>注：1.标注为左右的可上下浮动0.5个百分点。</w:t>
      </w:r>
    </w:p>
    <w:p w14:paraId="4EDC5AAD">
      <w:pPr>
        <w:keepNext w:val="0"/>
        <w:keepLines w:val="0"/>
        <w:pageBreakBefore w:val="0"/>
        <w:widowControl w:val="0"/>
        <w:kinsoku/>
        <w:wordWrap/>
        <w:overflowPunct/>
        <w:topLinePunct w:val="0"/>
        <w:autoSpaceDE/>
        <w:autoSpaceDN/>
        <w:bidi w:val="0"/>
        <w:adjustRightInd/>
        <w:snapToGrid/>
        <w:spacing w:line="240" w:lineRule="exact"/>
        <w:ind w:firstLine="0" w:firstLineChars="0"/>
        <w:textAlignment w:val="auto"/>
        <w:rPr>
          <w:rFonts w:hint="eastAsia" w:ascii="仿宋_GB2312" w:hAnsi="仿宋_GB2312" w:cs="仿宋_GB2312"/>
          <w:color w:val="auto"/>
          <w:sz w:val="21"/>
          <w:szCs w:val="21"/>
        </w:rPr>
      </w:pPr>
      <w:r>
        <w:rPr>
          <w:rFonts w:hint="eastAsia" w:ascii="仿宋_GB2312" w:hAnsi="仿宋_GB2312" w:cs="仿宋_GB2312"/>
          <w:color w:val="auto"/>
          <w:sz w:val="21"/>
          <w:szCs w:val="21"/>
        </w:rPr>
        <w:t xml:space="preserve">    2.[]内为五年累计数。</w:t>
      </w:r>
    </w:p>
    <w:p w14:paraId="7869515E">
      <w:pPr>
        <w:keepNext w:val="0"/>
        <w:keepLines w:val="0"/>
        <w:pageBreakBefore w:val="0"/>
        <w:widowControl w:val="0"/>
        <w:kinsoku/>
        <w:wordWrap/>
        <w:overflowPunct/>
        <w:topLinePunct w:val="0"/>
        <w:autoSpaceDE/>
        <w:autoSpaceDN/>
        <w:bidi w:val="0"/>
        <w:adjustRightInd/>
        <w:snapToGrid/>
        <w:spacing w:line="240" w:lineRule="exact"/>
        <w:ind w:firstLine="0" w:firstLineChars="0"/>
        <w:textAlignment w:val="auto"/>
        <w:rPr>
          <w:rFonts w:hint="eastAsia" w:ascii="仿宋_GB2312" w:hAnsi="仿宋_GB2312" w:cs="仿宋_GB2312"/>
          <w:color w:val="auto"/>
          <w:sz w:val="21"/>
          <w:szCs w:val="21"/>
        </w:rPr>
      </w:pPr>
      <w:r>
        <w:rPr>
          <w:rFonts w:hint="eastAsia" w:ascii="仿宋_GB2312" w:hAnsi="仿宋_GB2312" w:cs="仿宋_GB2312"/>
          <w:color w:val="auto"/>
          <w:sz w:val="21"/>
          <w:szCs w:val="21"/>
        </w:rPr>
        <w:t xml:space="preserve">    3.注*的表示达到市要求或市下达。</w:t>
      </w:r>
    </w:p>
    <w:p w14:paraId="09DA6E70">
      <w:pPr>
        <w:widowControl/>
        <w:spacing w:line="240" w:lineRule="auto"/>
        <w:ind w:firstLine="0" w:firstLineChars="0"/>
        <w:jc w:val="left"/>
        <w:rPr>
          <w:rFonts w:hint="eastAsia" w:eastAsia="黑体"/>
          <w:b/>
          <w:bCs/>
          <w:color w:val="auto"/>
          <w:kern w:val="44"/>
          <w:szCs w:val="44"/>
        </w:rPr>
      </w:pPr>
      <w:bookmarkStart w:id="57" w:name="_Toc211251925"/>
      <w:r>
        <w:rPr>
          <w:rFonts w:hint="eastAsia"/>
          <w:color w:val="auto"/>
        </w:rPr>
        <w:br w:type="page"/>
      </w:r>
    </w:p>
    <w:p w14:paraId="1BCB6ECB">
      <w:pPr>
        <w:pStyle w:val="2"/>
        <w:pageBreakBefore w:val="0"/>
        <w:widowControl w:val="0"/>
        <w:kinsoku/>
        <w:wordWrap/>
        <w:overflowPunct/>
        <w:topLinePunct w:val="0"/>
        <w:autoSpaceDE/>
        <w:autoSpaceDN/>
        <w:bidi w:val="0"/>
        <w:adjustRightInd/>
        <w:snapToGrid/>
        <w:spacing w:line="580" w:lineRule="exact"/>
        <w:ind w:firstLine="643"/>
        <w:textAlignment w:val="auto"/>
        <w:rPr>
          <w:rFonts w:hint="eastAsia"/>
          <w:color w:val="auto"/>
        </w:rPr>
      </w:pPr>
      <w:bookmarkStart w:id="58" w:name="_Toc225513182"/>
      <w:bookmarkStart w:id="59" w:name="_Toc216989019"/>
      <w:bookmarkStart w:id="60" w:name="_Toc217984229"/>
      <w:bookmarkStart w:id="61" w:name="OLE_LINK13"/>
      <w:bookmarkStart w:id="62" w:name="_Toc211251946"/>
      <w:r>
        <w:rPr>
          <w:color w:val="auto"/>
        </w:rPr>
        <w:t>第</w:t>
      </w:r>
      <w:r>
        <w:rPr>
          <w:rFonts w:hint="eastAsia"/>
          <w:color w:val="auto"/>
        </w:rPr>
        <w:t>二</w:t>
      </w:r>
      <w:r>
        <w:rPr>
          <w:color w:val="auto"/>
        </w:rPr>
        <w:t xml:space="preserve">篇 </w:t>
      </w:r>
      <w:r>
        <w:rPr>
          <w:rFonts w:hint="eastAsia"/>
          <w:color w:val="auto"/>
        </w:rPr>
        <w:t>构建多元化产业体系，厚植高质量发展根基</w:t>
      </w:r>
      <w:bookmarkEnd w:id="58"/>
      <w:bookmarkEnd w:id="59"/>
      <w:bookmarkEnd w:id="60"/>
    </w:p>
    <w:bookmarkEnd w:id="61"/>
    <w:p w14:paraId="66662CB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szCs w:val="32"/>
        </w:rPr>
      </w:pPr>
      <w:bookmarkStart w:id="63" w:name="OLE_LINK7"/>
      <w:r>
        <w:rPr>
          <w:rFonts w:hint="eastAsia" w:ascii="仿宋_GB2312"/>
          <w:color w:val="auto"/>
        </w:rPr>
        <w:t>落实党的二十届四中全会“</w:t>
      </w:r>
      <w:r>
        <w:rPr>
          <w:rFonts w:ascii="仿宋_GB2312" w:hAnsi="仿宋"/>
          <w:color w:val="auto"/>
          <w:szCs w:val="32"/>
        </w:rPr>
        <w:t>坚持把发展经济的着力点放在实体经济上</w:t>
      </w:r>
      <w:r>
        <w:rPr>
          <w:rFonts w:hint="eastAsia" w:ascii="仿宋_GB2312"/>
          <w:color w:val="auto"/>
        </w:rPr>
        <w:t>”部署要求，</w:t>
      </w:r>
      <w:r>
        <w:rPr>
          <w:rFonts w:ascii="仿宋_GB2312" w:hAnsi="仿宋"/>
          <w:color w:val="auto"/>
          <w:szCs w:val="32"/>
        </w:rPr>
        <w:t>以智能化、绿色化、融合化为方向，持续做优传统产业、做强主导产业、做大新兴产业，建设</w:t>
      </w:r>
      <w:r>
        <w:rPr>
          <w:rFonts w:hint="eastAsia" w:ascii="仿宋_GB2312" w:hAnsi="仿宋"/>
          <w:color w:val="auto"/>
          <w:szCs w:val="32"/>
        </w:rPr>
        <w:t>产业强县</w:t>
      </w:r>
      <w:r>
        <w:rPr>
          <w:rFonts w:ascii="仿宋_GB2312" w:hAnsi="仿宋"/>
          <w:color w:val="auto"/>
          <w:szCs w:val="32"/>
        </w:rPr>
        <w:t>，构建具有</w:t>
      </w:r>
      <w:r>
        <w:rPr>
          <w:rFonts w:hint="eastAsia" w:ascii="仿宋_GB2312" w:hAnsi="仿宋"/>
          <w:color w:val="auto"/>
          <w:szCs w:val="32"/>
        </w:rPr>
        <w:t>平山</w:t>
      </w:r>
      <w:r>
        <w:rPr>
          <w:rFonts w:ascii="仿宋_GB2312" w:hAnsi="仿宋"/>
          <w:color w:val="auto"/>
          <w:szCs w:val="32"/>
        </w:rPr>
        <w:t>特色和优势的现代化产业体系。</w:t>
      </w:r>
    </w:p>
    <w:bookmarkEnd w:id="63"/>
    <w:p w14:paraId="78CF94C4">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64" w:name="_Toc211251951"/>
      <w:bookmarkStart w:id="65" w:name="_Toc217984230"/>
      <w:bookmarkStart w:id="66" w:name="_Toc216989020"/>
      <w:bookmarkStart w:id="67" w:name="_Toc225513183"/>
      <w:r>
        <w:rPr>
          <w:rFonts w:hint="eastAsia" w:ascii="楷体_GB2312" w:hAnsi="楷体_GB2312" w:cs="楷体_GB2312"/>
          <w:color w:val="auto"/>
        </w:rPr>
        <w:t>第一章 提升传统产业，</w:t>
      </w:r>
      <w:bookmarkEnd w:id="64"/>
      <w:r>
        <w:rPr>
          <w:rFonts w:hint="eastAsia" w:ascii="楷体_GB2312" w:hAnsi="楷体_GB2312" w:cs="楷体_GB2312"/>
          <w:color w:val="auto"/>
        </w:rPr>
        <w:t>夯实发展基础</w:t>
      </w:r>
      <w:bookmarkEnd w:id="65"/>
      <w:bookmarkEnd w:id="66"/>
      <w:bookmarkEnd w:id="67"/>
    </w:p>
    <w:p w14:paraId="4E8B2D4C">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围绕钢铁主导产业优化升级，推动产品结构高端化、产业发展链条化、发展模式循环化、特色产业集群化，通过以“四化联动”巩固提升钢铁产业在区域产业链、供应链中的核心竞争力，为县域经济高质量发展夯实产业根基。</w:t>
      </w:r>
    </w:p>
    <w:p w14:paraId="4C558D75">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68" w:name="_Toc225513184"/>
      <w:bookmarkStart w:id="69" w:name="_Toc217984231"/>
      <w:bookmarkStart w:id="70" w:name="_Toc216989021"/>
      <w:r>
        <w:rPr>
          <w:rFonts w:hint="eastAsia" w:ascii="仿宋_GB2312"/>
          <w:color w:val="auto"/>
        </w:rPr>
        <w:t>一、推动产品结构高端化</w:t>
      </w:r>
      <w:bookmarkEnd w:id="68"/>
      <w:bookmarkEnd w:id="69"/>
      <w:bookmarkEnd w:id="70"/>
    </w:p>
    <w:p w14:paraId="09209AF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聚焦“提升高端钢材市场占比”这一核心，围绕“攻坚电工钢”与“拓展特种钢”两大方向，一方面，精准对接高端装备制造、新能源汽车等新兴产业需求，</w:t>
      </w:r>
      <w:r>
        <w:rPr>
          <w:rFonts w:hint="eastAsia"/>
          <w:color w:val="auto"/>
        </w:rPr>
        <w:t>研发生产高性能轴承钢、齿轮钢、弹簧钢等产品，</w:t>
      </w:r>
      <w:r>
        <w:rPr>
          <w:rFonts w:hint="eastAsia" w:ascii="仿宋_GB2312"/>
          <w:color w:val="auto"/>
        </w:rPr>
        <w:t>抢占新能源汽车电机和特高压变压器用钢市场。另一方面，深化与中车集团、中集集团等重点企业战略合作，共建联合实验室，协同研发轨道交通用钢、集装箱耐候钢等定制化产品。同时，支持敬业集团与高等院校和科研机构加强合作</w:t>
      </w:r>
      <w:r>
        <w:rPr>
          <w:rFonts w:hint="eastAsia"/>
          <w:color w:val="auto"/>
        </w:rPr>
        <w:t>，共建“河北省特种金属材料中试车间”，打通实验室成果到产业化应用“最后一公里”。</w:t>
      </w:r>
    </w:p>
    <w:p w14:paraId="42E5F14A">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71" w:name="_Toc216989022"/>
      <w:bookmarkStart w:id="72" w:name="_Toc217984232"/>
      <w:bookmarkStart w:id="73" w:name="_Toc225513185"/>
      <w:r>
        <w:rPr>
          <w:rFonts w:hint="eastAsia" w:ascii="仿宋_GB2312"/>
          <w:color w:val="auto"/>
        </w:rPr>
        <w:t>二、促进产业</w:t>
      </w:r>
      <w:bookmarkEnd w:id="71"/>
      <w:bookmarkEnd w:id="72"/>
      <w:r>
        <w:rPr>
          <w:rFonts w:hint="eastAsia" w:ascii="仿宋_GB2312"/>
          <w:color w:val="auto"/>
        </w:rPr>
        <w:t>发展链条化</w:t>
      </w:r>
      <w:bookmarkEnd w:id="73"/>
    </w:p>
    <w:p w14:paraId="0A666B8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锚定“提高钢材本地深加工转化率”这一目标，依托敬业集团母材优势，围绕产业延链、补链、强链下功夫，针对性引进汽车零部件、装配式建筑构件等下游企业，配套建设标准厂房与能源设施，大力发展汽车零部件等深加工产品，打造“钢材生产-精深加工-终端应用”的全产业链。深度对接海洋工程、轨道交通、航空航天等领域需求，延伸发展高端装备制造业，生产企业所需的各种零部件，拓展本地钢铁产品市场。</w:t>
      </w:r>
    </w:p>
    <w:p w14:paraId="1637734F">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74" w:name="_Toc225513186"/>
      <w:bookmarkStart w:id="75" w:name="_Toc217984233"/>
      <w:bookmarkStart w:id="76" w:name="_Toc216989023"/>
      <w:r>
        <w:rPr>
          <w:rFonts w:hint="eastAsia" w:ascii="仿宋_GB2312"/>
          <w:color w:val="auto"/>
        </w:rPr>
        <w:t>三、实现发展模式循环化</w:t>
      </w:r>
      <w:bookmarkEnd w:id="74"/>
      <w:bookmarkEnd w:id="75"/>
      <w:bookmarkEnd w:id="76"/>
    </w:p>
    <w:p w14:paraId="684F54B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把握“钢铁产业绿色低碳转型”这一方向，推动工业资源综合利用，支持企业建设钢渣、矿渣综合利用生产线，开发超细粉、路基材料、生态透水砖等产品，提升工业固废资源化利用水平。建立钢铁和电力生产全流程资源循环利用体系，将生产过程中产生的余热用于居民生活供热，余压转化为电能供企业使用，余气通过净化处理后作为燃料使用，最大限度减少污染物排放。</w:t>
      </w:r>
    </w:p>
    <w:p w14:paraId="467116F1">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77" w:name="_Toc216989024"/>
      <w:bookmarkStart w:id="78" w:name="_Toc217984234"/>
      <w:bookmarkStart w:id="79" w:name="_Toc225513187"/>
      <w:r>
        <w:rPr>
          <w:rFonts w:hint="eastAsia" w:ascii="仿宋_GB2312"/>
          <w:color w:val="auto"/>
        </w:rPr>
        <w:t>四、推进“共享智造”协同化</w:t>
      </w:r>
      <w:bookmarkEnd w:id="77"/>
      <w:bookmarkEnd w:id="78"/>
      <w:bookmarkEnd w:id="79"/>
    </w:p>
    <w:p w14:paraId="7B89F31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依托高品钢新材料县域特色产业集群，深化“共享智造”模式探索与应用，围绕原料采集、关键设备制造等环节，推动敬业集团等龙头企业开放先进生产设备、检验检测平台、技术研发资源等，引导中小企业共享共用，降低企业生产研发成本，科学构建“产业大脑+共享工厂”融合发展体系，培育形成大、中、小企业协同发展、互惠共赢的良好产业生态。促进产业集群跨越发展，力争到“十五五”末高品钢新材料产业集群营业收入突破3000亿元。</w:t>
      </w:r>
    </w:p>
    <w:p w14:paraId="763EB302">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80" w:name="_Toc211251955"/>
      <w:bookmarkStart w:id="81" w:name="_Toc216989025"/>
      <w:bookmarkStart w:id="82" w:name="_Toc217984235"/>
      <w:bookmarkStart w:id="83" w:name="_Toc225513188"/>
      <w:r>
        <w:rPr>
          <w:rFonts w:hint="eastAsia" w:ascii="楷体_GB2312" w:hAnsi="楷体_GB2312" w:cs="楷体_GB2312"/>
          <w:color w:val="auto"/>
        </w:rPr>
        <w:t>第二章 布局新兴产业，</w:t>
      </w:r>
      <w:bookmarkEnd w:id="80"/>
      <w:bookmarkEnd w:id="81"/>
      <w:bookmarkEnd w:id="82"/>
      <w:r>
        <w:rPr>
          <w:rFonts w:hint="eastAsia" w:ascii="楷体_GB2312" w:hAnsi="楷体_GB2312" w:cs="楷体_GB2312"/>
          <w:color w:val="auto"/>
        </w:rPr>
        <w:t>增强发展动能</w:t>
      </w:r>
      <w:bookmarkEnd w:id="83"/>
    </w:p>
    <w:p w14:paraId="5E6639DA">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准确把握平山现有产业基础与比较优势，做大做强新能源、新材料、电子信息三大新兴产业，培育特色鲜明、竞争力强的多元化产业体系，推动实体经济从“钢铁主导”转向“多极支撑”的新局面。</w:t>
      </w:r>
    </w:p>
    <w:p w14:paraId="12C65037">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84" w:name="_Toc211251957"/>
      <w:bookmarkStart w:id="85" w:name="_Toc217984236"/>
      <w:bookmarkStart w:id="86" w:name="_Toc216989026"/>
      <w:bookmarkStart w:id="87" w:name="_Toc225513189"/>
      <w:r>
        <w:rPr>
          <w:rFonts w:hint="eastAsia" w:ascii="仿宋_GB2312"/>
          <w:color w:val="auto"/>
        </w:rPr>
        <w:t>一、新能源产业：聚力推进储能建设与应用</w:t>
      </w:r>
      <w:bookmarkEnd w:id="84"/>
      <w:bookmarkEnd w:id="85"/>
      <w:bookmarkEnd w:id="86"/>
      <w:bookmarkEnd w:id="87"/>
    </w:p>
    <w:p w14:paraId="5D0016A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按照“储能为核心、发电为基础、应用为目的”的总体思路，</w:t>
      </w:r>
      <w:bookmarkStart w:id="88" w:name="_Toc211251958"/>
      <w:r>
        <w:rPr>
          <w:rFonts w:hint="eastAsia" w:ascii="仿宋_GB2312" w:hAnsi="仿宋"/>
          <w:color w:val="auto"/>
        </w:rPr>
        <w:t>结合县情实际，</w:t>
      </w:r>
      <w:r>
        <w:rPr>
          <w:color w:val="auto"/>
          <w:szCs w:val="32"/>
        </w:rPr>
        <w:t>合理布局集中式与分布式光伏电站</w:t>
      </w:r>
      <w:r>
        <w:rPr>
          <w:rFonts w:hint="eastAsia"/>
          <w:color w:val="auto"/>
          <w:szCs w:val="32"/>
        </w:rPr>
        <w:t>，</w:t>
      </w:r>
      <w:r>
        <w:rPr>
          <w:color w:val="auto"/>
          <w:szCs w:val="32"/>
        </w:rPr>
        <w:t>配套</w:t>
      </w:r>
      <w:r>
        <w:rPr>
          <w:rFonts w:hint="eastAsia"/>
          <w:color w:val="auto"/>
          <w:szCs w:val="32"/>
        </w:rPr>
        <w:t>发展上下游产业，</w:t>
      </w:r>
      <w:r>
        <w:rPr>
          <w:color w:val="auto"/>
          <w:szCs w:val="32"/>
        </w:rPr>
        <w:t>提升光伏发电综合效益</w:t>
      </w:r>
      <w:r>
        <w:rPr>
          <w:rFonts w:hint="eastAsia"/>
          <w:color w:val="auto"/>
          <w:szCs w:val="32"/>
        </w:rPr>
        <w:t>；</w:t>
      </w:r>
      <w:r>
        <w:rPr>
          <w:rFonts w:hint="eastAsia"/>
          <w:color w:val="auto"/>
        </w:rPr>
        <w:t>利用海拔落差优势，</w:t>
      </w:r>
      <w:r>
        <w:rPr>
          <w:color w:val="auto"/>
          <w:szCs w:val="32"/>
        </w:rPr>
        <w:t>规划建设抽水蓄能电站，稳步开发水电与抽水蓄能</w:t>
      </w:r>
      <w:r>
        <w:rPr>
          <w:rFonts w:hint="eastAsia"/>
          <w:color w:val="auto"/>
          <w:szCs w:val="32"/>
        </w:rPr>
        <w:t>，</w:t>
      </w:r>
      <w:r>
        <w:rPr>
          <w:color w:val="auto"/>
          <w:szCs w:val="32"/>
        </w:rPr>
        <w:t>增强电网灵活调节能力</w:t>
      </w:r>
      <w:r>
        <w:rPr>
          <w:rFonts w:hint="eastAsia"/>
          <w:color w:val="auto"/>
        </w:rPr>
        <w:t>；</w:t>
      </w:r>
      <w:r>
        <w:rPr>
          <w:color w:val="auto"/>
          <w:szCs w:val="32"/>
        </w:rPr>
        <w:t>积极探索地热能等非化石能源</w:t>
      </w:r>
      <w:r>
        <w:rPr>
          <w:rFonts w:hint="eastAsia"/>
          <w:color w:val="auto"/>
          <w:szCs w:val="32"/>
        </w:rPr>
        <w:t>开发利用，支持推进储能项目筹建，着</w:t>
      </w:r>
      <w:r>
        <w:rPr>
          <w:rFonts w:hint="eastAsia" w:ascii="仿宋_GB2312" w:hAnsi="仿宋"/>
          <w:color w:val="auto"/>
        </w:rPr>
        <w:t>力构建</w:t>
      </w:r>
      <w:r>
        <w:rPr>
          <w:rFonts w:ascii="仿宋_GB2312" w:hAnsi="仿宋"/>
          <w:color w:val="auto"/>
        </w:rPr>
        <w:t>“</w:t>
      </w:r>
      <w:r>
        <w:rPr>
          <w:rFonts w:hint="eastAsia" w:ascii="仿宋_GB2312" w:hAnsi="仿宋"/>
          <w:color w:val="auto"/>
        </w:rPr>
        <w:t>风光水储充</w:t>
      </w:r>
      <w:r>
        <w:rPr>
          <w:rFonts w:ascii="仿宋_GB2312" w:hAnsi="仿宋"/>
          <w:color w:val="auto"/>
        </w:rPr>
        <w:t>”</w:t>
      </w:r>
      <w:r>
        <w:rPr>
          <w:rFonts w:hint="eastAsia" w:ascii="仿宋_GB2312" w:hAnsi="仿宋"/>
          <w:color w:val="auto"/>
        </w:rPr>
        <w:t>协同互济的现代能源体系。</w:t>
      </w:r>
    </w:p>
    <w:p w14:paraId="67723293">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89" w:name="_Toc225513190"/>
      <w:bookmarkStart w:id="90" w:name="_Toc216989027"/>
      <w:bookmarkStart w:id="91" w:name="_Toc217984237"/>
      <w:r>
        <w:rPr>
          <w:rFonts w:hint="eastAsia" w:ascii="仿宋_GB2312"/>
          <w:color w:val="auto"/>
        </w:rPr>
        <w:t>二、新材料产业：发掘资源潜力，实现跨界赋能</w:t>
      </w:r>
      <w:bookmarkEnd w:id="88"/>
      <w:bookmarkEnd w:id="89"/>
      <w:bookmarkEnd w:id="90"/>
      <w:bookmarkEnd w:id="91"/>
    </w:p>
    <w:p w14:paraId="230B21CC">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按照“服务本地、替代进口、绿色高值”的思路导向，重点发展增材制造、3D打印等高精尖产业，引进培育多样化的新材料产业。</w:t>
      </w:r>
      <w:r>
        <w:rPr>
          <w:rFonts w:hint="eastAsia" w:ascii="仿宋_GB2312" w:hAnsi="仿宋"/>
          <w:color w:val="auto"/>
          <w:lang w:val="zh-CN"/>
        </w:rPr>
        <w:t>重点突破大型火箭尾喷管、飞行器精密部件等高端产品材料生产技术，</w:t>
      </w:r>
      <w:r>
        <w:rPr>
          <w:rFonts w:hint="eastAsia"/>
          <w:color w:val="auto"/>
        </w:rPr>
        <w:t>探索开发铝钢复合材料、金属陶瓷复合材料等，满足新能源汽车轻量化、航空航天等特殊领域材料需求。布局发展</w:t>
      </w:r>
      <w:r>
        <w:rPr>
          <w:rFonts w:hint="eastAsia" w:ascii="仿宋_GB2312"/>
          <w:color w:val="auto"/>
        </w:rPr>
        <w:t>电子信息材料、储能材料等新兴领域，鼓励企业突破关键技术，强化协同配套，形成多品类、多层次的新材料产品矩阵。</w:t>
      </w:r>
    </w:p>
    <w:p w14:paraId="7D1C5444">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92" w:name="_Toc225513191"/>
      <w:r>
        <w:rPr>
          <w:rFonts w:hint="eastAsia"/>
          <w:color w:val="auto"/>
        </w:rPr>
        <w:t>三、电子信息产业：对接全市布局</w:t>
      </w:r>
      <w:r>
        <w:rPr>
          <w:rFonts w:hint="eastAsia" w:ascii="仿宋_GB2312" w:hAnsiTheme="minorHAnsi" w:cstheme="minorBidi"/>
          <w:color w:val="auto"/>
          <w:szCs w:val="22"/>
        </w:rPr>
        <w:t>，推进差异化发展</w:t>
      </w:r>
      <w:bookmarkEnd w:id="92"/>
    </w:p>
    <w:p w14:paraId="42D9A7A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b/>
          <w:bCs/>
          <w:color w:val="auto"/>
        </w:rPr>
      </w:pPr>
      <w:r>
        <w:rPr>
          <w:rFonts w:hint="eastAsia" w:ascii="仿宋_GB2312"/>
          <w:color w:val="auto"/>
        </w:rPr>
        <w:t>按照“融入区域、服务本地、特色突破”的方法路径，积极融入京津冀协同发展与石家庄市电子信息产业布局，在</w:t>
      </w:r>
      <w:r>
        <w:rPr>
          <w:rFonts w:ascii="仿宋_GB2312"/>
          <w:color w:val="auto"/>
        </w:rPr>
        <w:t>西柏坡经济开发区</w:t>
      </w:r>
      <w:r>
        <w:rPr>
          <w:rFonts w:hint="eastAsia" w:ascii="仿宋_GB2312"/>
          <w:color w:val="auto"/>
        </w:rPr>
        <w:t>规划建设电子信息产业集聚区，承接京津电子信息产业转移，大力发展电子信息零组件生产、数字服务等业态，培育壮大泽宏科技、均益电子等骨干企业，构建“材料-组件-应用”本地化配套链条，推动电子信息产业与钢铁、装备制造、文旅等产业深度融合，打造县域经济高质量发展新增长极。</w:t>
      </w:r>
    </w:p>
    <w:p w14:paraId="330130FF">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93" w:name="_Toc217984239"/>
      <w:bookmarkStart w:id="94" w:name="_Toc216989029"/>
      <w:bookmarkStart w:id="95" w:name="_Toc211251931"/>
      <w:bookmarkStart w:id="96" w:name="_Toc225513192"/>
      <w:bookmarkStart w:id="97" w:name="_Toc211251960"/>
      <w:r>
        <w:rPr>
          <w:rFonts w:hint="eastAsia" w:ascii="楷体_GB2312" w:hAnsi="楷体_GB2312" w:cs="楷体_GB2312"/>
          <w:color w:val="auto"/>
        </w:rPr>
        <w:t>第三章 培育未来产业</w:t>
      </w:r>
      <w:bookmarkEnd w:id="93"/>
      <w:bookmarkEnd w:id="94"/>
      <w:bookmarkEnd w:id="95"/>
      <w:r>
        <w:rPr>
          <w:rFonts w:hint="eastAsia" w:ascii="楷体_GB2312" w:hAnsi="楷体_GB2312" w:cs="楷体_GB2312"/>
          <w:color w:val="auto"/>
        </w:rPr>
        <w:t>，抢抓发展先机</w:t>
      </w:r>
      <w:bookmarkEnd w:id="96"/>
    </w:p>
    <w:p w14:paraId="4FC1682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紧跟时代发展潮流，重视从“0到1”的产业萌芽与技术验证，为未来可能出现的“新兴产业集群”进行技术和项目储备。</w:t>
      </w:r>
    </w:p>
    <w:p w14:paraId="49C46406">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98" w:name="_Toc211251932"/>
      <w:bookmarkStart w:id="99" w:name="_Toc216989030"/>
      <w:bookmarkStart w:id="100" w:name="_Toc217984240"/>
      <w:bookmarkStart w:id="101" w:name="_Toc225513193"/>
      <w:r>
        <w:rPr>
          <w:rFonts w:hint="eastAsia"/>
          <w:color w:val="auto"/>
        </w:rPr>
        <w:t>一、低空经济产业：借势打造太行山低空应用场景</w:t>
      </w:r>
      <w:bookmarkEnd w:id="98"/>
      <w:bookmarkEnd w:id="99"/>
      <w:bookmarkEnd w:id="100"/>
      <w:bookmarkEnd w:id="101"/>
    </w:p>
    <w:p w14:paraId="0E3E1033">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olor w:val="auto"/>
        </w:rPr>
      </w:pPr>
      <w:r>
        <w:rPr>
          <w:rFonts w:hint="eastAsia" w:ascii="仿宋_GB2312" w:hAnsi="仿宋_GB2312"/>
          <w:color w:val="auto"/>
        </w:rPr>
        <w:t>牢牢把握河北省计划在太行山区布局“低空经济”场景的重大机遇，发挥平山</w:t>
      </w:r>
      <w:r>
        <w:rPr>
          <w:rFonts w:ascii="仿宋_GB2312" w:hAnsi="仿宋_GB2312"/>
          <w:color w:val="auto"/>
        </w:rPr>
        <w:t>“</w:t>
      </w:r>
      <w:r>
        <w:rPr>
          <w:rFonts w:hint="eastAsia" w:ascii="仿宋_GB2312" w:hAnsi="仿宋_GB2312"/>
          <w:color w:val="auto"/>
        </w:rPr>
        <w:t>生态山水、城乡交融</w:t>
      </w:r>
      <w:r>
        <w:rPr>
          <w:rFonts w:ascii="仿宋_GB2312" w:hAnsi="仿宋_GB2312"/>
          <w:color w:val="auto"/>
        </w:rPr>
        <w:t>”</w:t>
      </w:r>
      <w:r>
        <w:rPr>
          <w:rFonts w:hint="eastAsia" w:ascii="仿宋_GB2312" w:hAnsi="仿宋_GB2312"/>
          <w:color w:val="auto"/>
        </w:rPr>
        <w:t>的独特场景优势，以“场景牵引、制造与服务联动”为发展路径，以工业级无人机为突破口，</w:t>
      </w:r>
      <w:bookmarkStart w:id="102" w:name="OLE_LINK6"/>
      <w:r>
        <w:rPr>
          <w:rFonts w:hint="eastAsia" w:ascii="仿宋_GB2312" w:hAnsi="仿宋_GB2312"/>
          <w:color w:val="auto"/>
        </w:rPr>
        <w:t>联合科研院所，在文旅、农林、生态、交通、应急、气象等领域部署低空飞行器应用场景，开展低空智能设备山区复杂环境适应性、长航时动力系统、基于5G-A的低空通信网络等技术预研，验证技术可行性，拓展在文旅航拍、应急救援、农林植保、区域物流等领域的商业化应用</w:t>
      </w:r>
      <w:bookmarkEnd w:id="102"/>
      <w:r>
        <w:rPr>
          <w:rFonts w:hint="eastAsia" w:ascii="仿宋_GB2312" w:hAnsi="仿宋_GB2312"/>
          <w:color w:val="auto"/>
        </w:rPr>
        <w:t>，培育低空经济新业态。</w:t>
      </w:r>
    </w:p>
    <w:p w14:paraId="7E003C15">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lang w:val="zh-CN"/>
        </w:rPr>
      </w:pPr>
      <w:bookmarkStart w:id="103" w:name="_Toc211251933"/>
      <w:bookmarkStart w:id="104" w:name="_Toc225513194"/>
      <w:bookmarkStart w:id="105" w:name="_Toc217984241"/>
      <w:bookmarkStart w:id="106" w:name="_Toc216989031"/>
      <w:r>
        <w:rPr>
          <w:rFonts w:hint="eastAsia"/>
          <w:color w:val="auto"/>
        </w:rPr>
        <w:t>二、</w:t>
      </w:r>
      <w:r>
        <w:rPr>
          <w:rFonts w:hint="eastAsia"/>
          <w:color w:val="auto"/>
          <w:lang w:val="zh-CN"/>
        </w:rPr>
        <w:t>应急装备产业：全力满足区域应急需求</w:t>
      </w:r>
      <w:bookmarkEnd w:id="103"/>
      <w:bookmarkEnd w:id="104"/>
      <w:bookmarkEnd w:id="105"/>
      <w:bookmarkEnd w:id="106"/>
    </w:p>
    <w:p w14:paraId="6A0DDD6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lang w:val="zh-CN"/>
        </w:rPr>
      </w:pPr>
      <w:r>
        <w:rPr>
          <w:rFonts w:hint="eastAsia" w:ascii="仿宋_GB2312" w:hAnsi="仿宋"/>
          <w:color w:val="auto"/>
          <w:lang w:val="zh-CN"/>
        </w:rPr>
        <w:t>聚焦京津冀地区日益增长的应急保障需求，以技术攻关为核心、协同配套为支撑、场景应用为导向，探索构建“研发-生产-应用”一体化特色应急装备产业体系，组建应急装备技术研发中心，重点攻关环境应急监测传感器、地质灾害智能预警算法、消防机器人自主导航等关键技术，开发优化便携式水质快速检测仪、山体滑坡智能预警终端、消防应急巡检机器人等应急设备，</w:t>
      </w:r>
      <w:r>
        <w:rPr>
          <w:rFonts w:hint="eastAsia" w:ascii="仿宋_GB2312"/>
          <w:color w:val="auto"/>
          <w:lang w:val="zh-CN"/>
        </w:rPr>
        <w:t>与石家庄、北京等地应急管理部门建立合作关系，推广相关产品在矿山管理、景区管理、交通管理、水源地保护等领域的应用，</w:t>
      </w:r>
      <w:r>
        <w:rPr>
          <w:rFonts w:hint="eastAsia" w:ascii="仿宋_GB2312" w:hAnsi="仿宋"/>
          <w:color w:val="auto"/>
          <w:lang w:val="zh-CN"/>
        </w:rPr>
        <w:t>为京津冀应急保障提供高质量服务。</w:t>
      </w:r>
    </w:p>
    <w:p w14:paraId="30F28D82">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107" w:name="_Toc217984238"/>
      <w:bookmarkStart w:id="108" w:name="_Toc216989028"/>
      <w:bookmarkStart w:id="109" w:name="_Toc225513195"/>
      <w:bookmarkStart w:id="110" w:name="_Toc217984242"/>
      <w:bookmarkStart w:id="111" w:name="_Toc216989032"/>
      <w:bookmarkStart w:id="112" w:name="_Toc211251965"/>
      <w:r>
        <w:rPr>
          <w:rFonts w:hint="eastAsia"/>
          <w:color w:val="auto"/>
        </w:rPr>
        <w:t>三、数字产业：充分释放数据要素价值</w:t>
      </w:r>
      <w:bookmarkEnd w:id="107"/>
      <w:bookmarkEnd w:id="108"/>
      <w:bookmarkEnd w:id="109"/>
    </w:p>
    <w:p w14:paraId="642B81B3">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13" w:name="_Toc211251959"/>
      <w:r>
        <w:rPr>
          <w:rFonts w:hint="eastAsia"/>
          <w:color w:val="auto"/>
        </w:rPr>
        <w:t>注重把数据作为培育新质生产力的基础要素，</w:t>
      </w:r>
      <w:r>
        <w:rPr>
          <w:rFonts w:hint="eastAsia" w:ascii="仿宋_GB2312"/>
          <w:color w:val="auto"/>
        </w:rPr>
        <w:t>强化数据部门对重大项目的规划引领与全程指导，</w:t>
      </w:r>
      <w:r>
        <w:rPr>
          <w:rFonts w:hint="eastAsia"/>
          <w:color w:val="auto"/>
        </w:rPr>
        <w:t>支持重点企业数据资源向数据资产、数据资本转化，</w:t>
      </w:r>
      <w:r>
        <w:rPr>
          <w:rFonts w:hint="eastAsia" w:ascii="仿宋_GB2312"/>
          <w:color w:val="auto"/>
        </w:rPr>
        <w:t>推动各领域数据规范接入全省一体化大数据体系，实现数据资源集约整合、高效共享，以数据赋能产业升级、政务服务、社会治理等重点领域事业发展，最大程度释放数据“乘数效应”，为经济社会发展提供强劲数字动能。</w:t>
      </w:r>
    </w:p>
    <w:bookmarkEnd w:id="113"/>
    <w:p w14:paraId="741BA92F">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114" w:name="_Toc225513196"/>
      <w:r>
        <w:rPr>
          <w:rFonts w:hint="eastAsia" w:ascii="楷体_GB2312" w:hAnsi="楷体_GB2312" w:cs="楷体_GB2312"/>
          <w:color w:val="auto"/>
        </w:rPr>
        <w:t>第四章 发展现代服务业，增强县域经济活力</w:t>
      </w:r>
      <w:bookmarkEnd w:id="110"/>
      <w:bookmarkEnd w:id="111"/>
      <w:bookmarkEnd w:id="112"/>
      <w:bookmarkEnd w:id="114"/>
    </w:p>
    <w:p w14:paraId="64366543">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以提质扩容、融合创新为核心，推进生活性服务业与生产性服务业协同发展，多维度扩大有效供给、激发消费潜能，构建优质高效、结构优化、竞争力强的现代服务业新体系。</w:t>
      </w:r>
    </w:p>
    <w:p w14:paraId="15D7987B">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15" w:name="_Toc216989033"/>
      <w:bookmarkStart w:id="116" w:name="_Toc225513197"/>
      <w:bookmarkStart w:id="117" w:name="_Toc217984243"/>
      <w:r>
        <w:rPr>
          <w:rFonts w:hint="eastAsia" w:ascii="仿宋_GB2312"/>
          <w:color w:val="auto"/>
        </w:rPr>
        <w:t>一、构建现代物流服务体系</w:t>
      </w:r>
      <w:bookmarkEnd w:id="115"/>
      <w:bookmarkEnd w:id="116"/>
      <w:bookmarkEnd w:id="117"/>
    </w:p>
    <w:p w14:paraId="0B0151B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以打造区域性物流节点为目标，进一步完善快递物流相关基础设施，加快建设县域快递物流中心，畅通农村寄递物流体系，完善物流网络，提升物流专业化、智能化水平。</w:t>
      </w:r>
    </w:p>
    <w:p w14:paraId="4CA7D72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b/>
          <w:bCs/>
          <w:color w:val="auto"/>
        </w:rPr>
        <w:t>完善物流基础设施：</w:t>
      </w:r>
      <w:r>
        <w:rPr>
          <w:rFonts w:hint="eastAsia" w:ascii="仿宋_GB2312"/>
          <w:color w:val="auto"/>
        </w:rPr>
        <w:t>规划建设标准化仓储中心、冷链物流区、智能分拣中心和物流信息网络，引入知名物流企业设立区域分拨中心，降低物流成本。在农产品主产区配套建设产地冷链物流节点，配备冷藏车、预冷设备，降低农产品损耗率。</w:t>
      </w:r>
    </w:p>
    <w:p w14:paraId="5DF6DE6B">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b/>
          <w:bCs/>
          <w:color w:val="auto"/>
        </w:rPr>
        <w:t>提升物流智能化水平：</w:t>
      </w:r>
      <w:r>
        <w:rPr>
          <w:rFonts w:hint="eastAsia" w:ascii="仿宋_GB2312" w:hAnsi="仿宋"/>
          <w:color w:val="auto"/>
        </w:rPr>
        <w:t>整合物流数据资源，实现货物跟踪、运力匹配等功能“全程网办”。推广无人配送、智能分拣等技术，提升快递物流中心智能化改造率。</w:t>
      </w:r>
    </w:p>
    <w:p w14:paraId="62BF9F7D">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18" w:name="_Toc217984244"/>
      <w:bookmarkStart w:id="119" w:name="_Toc216989034"/>
      <w:bookmarkStart w:id="120" w:name="_Toc225513198"/>
      <w:r>
        <w:rPr>
          <w:rFonts w:hint="eastAsia" w:ascii="仿宋_GB2312"/>
          <w:color w:val="auto"/>
        </w:rPr>
        <w:t>二、促进商贸服务业提质升级</w:t>
      </w:r>
      <w:bookmarkEnd w:id="118"/>
      <w:bookmarkEnd w:id="119"/>
      <w:bookmarkEnd w:id="120"/>
    </w:p>
    <w:p w14:paraId="6C56587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顺应消费发展趋势，优化商贸资源布局，推动传统商贸转型，培育新型消费业态，构建城乡联动、供给丰富的综合商贸服务体系。</w:t>
      </w:r>
    </w:p>
    <w:p w14:paraId="478D008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b/>
          <w:bCs/>
          <w:color w:val="auto"/>
        </w:rPr>
        <w:t>优化城乡商业布局：</w:t>
      </w:r>
      <w:r>
        <w:rPr>
          <w:rFonts w:hint="eastAsia" w:ascii="仿宋_GB2312"/>
          <w:color w:val="auto"/>
        </w:rPr>
        <w:t>实施县城商业中心提档升级，改造重点商业街区，引入多元业态，培育特色消费商圈。在重点镇建设乡镇商贸中心，在重点村建设村级便民商店，进一步做优农村商贸流通网络。</w:t>
      </w:r>
    </w:p>
    <w:p w14:paraId="075A54E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b/>
          <w:bCs/>
          <w:color w:val="auto"/>
        </w:rPr>
        <w:t>激发消费市场活力：</w:t>
      </w:r>
      <w:r>
        <w:rPr>
          <w:rFonts w:hint="eastAsia" w:ascii="仿宋_GB2312"/>
          <w:color w:val="auto"/>
        </w:rPr>
        <w:t>落实“两新”政策，稳定大宗消费。举</w:t>
      </w:r>
      <w:r>
        <w:rPr>
          <w:rFonts w:hint="eastAsia" w:ascii="仿宋_GB2312" w:hAnsi="仿宋"/>
          <w:color w:val="auto"/>
        </w:rPr>
        <w:t>办“特色农产品展销会”等促销活动，激活消费潜力。大力发展夜经济，打造夜游项目，开发多元消费场景，进一步提升夜经济活力。</w:t>
      </w:r>
    </w:p>
    <w:p w14:paraId="2F76C55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推动商贸数字化转型：</w:t>
      </w:r>
      <w:r>
        <w:rPr>
          <w:rFonts w:hint="eastAsia" w:ascii="仿宋_GB2312" w:hAnsi="仿宋"/>
          <w:color w:val="auto"/>
        </w:rPr>
        <w:t>建设县级电商公共服务中心，培育农产品电商品牌，擦亮“平山优礼”等特色品牌，提升农产品网销率和农村电商网络零售额。</w:t>
      </w:r>
    </w:p>
    <w:p w14:paraId="7A7D0AF1">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21" w:name="_Toc225513199"/>
      <w:bookmarkStart w:id="122" w:name="_Toc216989035"/>
      <w:bookmarkStart w:id="123" w:name="_Toc217984245"/>
      <w:r>
        <w:rPr>
          <w:rFonts w:hint="eastAsia" w:ascii="仿宋_GB2312"/>
          <w:color w:val="auto"/>
        </w:rPr>
        <w:t>三、发展生产性服务业</w:t>
      </w:r>
      <w:bookmarkEnd w:id="121"/>
      <w:bookmarkEnd w:id="122"/>
      <w:bookmarkEnd w:id="123"/>
    </w:p>
    <w:p w14:paraId="2A19C12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围绕工业、农业转型升级需求，大力发展研发设计、检验检测、商务咨询等生产性服务业，促进服务业与制造业、农业深度融合。</w:t>
      </w:r>
    </w:p>
    <w:p w14:paraId="3914BE7B">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b/>
          <w:bCs/>
          <w:color w:val="auto"/>
        </w:rPr>
        <w:t>强化科技服务支撑：</w:t>
      </w:r>
      <w:r>
        <w:rPr>
          <w:rFonts w:hint="eastAsia" w:ascii="仿宋_GB2312"/>
          <w:color w:val="auto"/>
        </w:rPr>
        <w:t>依托创新平台引进科技服务企业，提供研发设计、技术咨询等服务，提升全社会研发经费投入强度。建设检验检测中心，配备专业设备，为企业提供第三方检测认证服务。</w:t>
      </w:r>
    </w:p>
    <w:p w14:paraId="6BDC341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b/>
          <w:bCs/>
          <w:color w:val="auto"/>
        </w:rPr>
        <w:t>提升商务服务水平：</w:t>
      </w:r>
      <w:r>
        <w:rPr>
          <w:rFonts w:hint="eastAsia" w:ascii="仿宋_GB2312"/>
          <w:color w:val="auto"/>
        </w:rPr>
        <w:t>培育专业化商务咨询企业，为本地企业提供多元服务。推动会展经济发展，依托会展中心举办各类行业博览会和产业论坛，带动相关产业收入增长。</w:t>
      </w:r>
    </w:p>
    <w:p w14:paraId="79C68A0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b/>
          <w:bCs/>
          <w:color w:val="auto"/>
        </w:rPr>
        <w:t>推动农业生产性服务发展：</w:t>
      </w:r>
      <w:r>
        <w:rPr>
          <w:rFonts w:hint="eastAsia" w:ascii="仿宋_GB2312" w:hAnsi="仿宋"/>
          <w:color w:val="auto"/>
        </w:rPr>
        <w:t>培育农业社会化服务组织，整合农业数据资源，为农户和企业提供“一站式”农业服务，提升农业生产性服务覆盖率。</w:t>
      </w:r>
    </w:p>
    <w:bookmarkEnd w:id="97"/>
    <w:p w14:paraId="50A91EC1">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124" w:name="_Toc216989036"/>
      <w:bookmarkStart w:id="125" w:name="_Toc217984246"/>
      <w:bookmarkStart w:id="126" w:name="_Toc225513200"/>
      <w:r>
        <w:rPr>
          <w:rFonts w:hint="eastAsia" w:ascii="楷体_GB2312" w:hAnsi="楷体_GB2312" w:cs="楷体_GB2312"/>
          <w:color w:val="auto"/>
        </w:rPr>
        <w:t>第五章 深化质量强县建设，提升产业抗风险韧性</w:t>
      </w:r>
      <w:bookmarkEnd w:id="124"/>
      <w:bookmarkEnd w:id="125"/>
      <w:bookmarkEnd w:id="126"/>
    </w:p>
    <w:p w14:paraId="030DBC97">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以质量强县建设为引领，统筹推进质量提升与风险防控，以底线思维筑牢安全屏障，推动产业发展提质增效、行稳致远。</w:t>
      </w:r>
    </w:p>
    <w:p w14:paraId="4108A49A">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27" w:name="_Toc216989037"/>
      <w:bookmarkStart w:id="128" w:name="_Toc225513201"/>
      <w:bookmarkStart w:id="129" w:name="_Toc217984247"/>
      <w:r>
        <w:rPr>
          <w:rFonts w:hint="eastAsia" w:ascii="仿宋_GB2312"/>
          <w:color w:val="auto"/>
        </w:rPr>
        <w:t>一、强化标准引领作用</w:t>
      </w:r>
      <w:bookmarkEnd w:id="127"/>
      <w:bookmarkEnd w:id="128"/>
      <w:bookmarkEnd w:id="129"/>
    </w:p>
    <w:p w14:paraId="039F872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聚焦钢铁、高端装备制造、新能源、文化旅游、特色农业等产业，鼓励引导企业主导或参与国际、国家及行业标准制定修订，制定对标国家标准的内控质量标准，建立覆盖研发、生产、销售全流程的标准化管理体系。依托西柏坡经济开发区搭建标准共享平台，整合行业先进标准资源，为中小企业提供标准咨询、培训等公益服务，推动标准落地实施。</w:t>
      </w:r>
    </w:p>
    <w:p w14:paraId="1A11DB63">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30" w:name="_Toc217984248"/>
      <w:bookmarkStart w:id="131" w:name="_Toc216989038"/>
      <w:bookmarkStart w:id="132" w:name="_Toc225513202"/>
      <w:r>
        <w:rPr>
          <w:rFonts w:hint="eastAsia" w:ascii="仿宋_GB2312"/>
          <w:color w:val="auto"/>
        </w:rPr>
        <w:t>二、完善质量管控与保障</w:t>
      </w:r>
      <w:bookmarkEnd w:id="130"/>
      <w:bookmarkEnd w:id="131"/>
      <w:bookmarkEnd w:id="132"/>
    </w:p>
    <w:p w14:paraId="3A1A191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推动检验检测资源共享，提升钢铁材料、农产品、文旅服务等领域检验检测能力，实现重点产业集群检验检测服务全覆盖。鼓励企业导入先进质量管理模式，推广全面质量管理先进方法，提升质量管理精细化水平。建立产品质量追溯体系，实现“来源可查、去向可追、责任可究”。建立“政府引导、企业主体、社会参与”的质量强县工作格局，统筹推进质量领域重大事项，深化政银企对接，对获得质量认证、品牌荣誉的企业给予信贷倾斜。加强质量人才培养和质量技能培训，培育一批兼具技术能力与质量意识的复合型人才。</w:t>
      </w:r>
    </w:p>
    <w:p w14:paraId="16425790">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33" w:name="_Toc216989039"/>
      <w:bookmarkStart w:id="134" w:name="_Toc217984249"/>
      <w:bookmarkStart w:id="135" w:name="_Toc225513203"/>
      <w:r>
        <w:rPr>
          <w:rFonts w:hint="eastAsia" w:ascii="仿宋_GB2312"/>
          <w:color w:val="auto"/>
        </w:rPr>
        <w:t>三、提升产业风险防控</w:t>
      </w:r>
      <w:bookmarkEnd w:id="133"/>
      <w:bookmarkEnd w:id="134"/>
      <w:r>
        <w:rPr>
          <w:rFonts w:hint="eastAsia" w:ascii="仿宋_GB2312"/>
          <w:color w:val="auto"/>
        </w:rPr>
        <w:t>水平</w:t>
      </w:r>
      <w:bookmarkEnd w:id="135"/>
    </w:p>
    <w:p w14:paraId="0A25E39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重点围绕钢铁产业，建立铁矿石、焦煤等关键原材料战略储备与多元化采购机制，发展废钢回收加工产业，鼓励企业监测市场动向，预判市场波动风险，降低对外依存度。同时，围绕现代农业、新能源产业、文旅产业等行业领域，完善自然灾害、突发情况等应急响应预案，增强抗风险能力，保障安全发展。</w:t>
      </w:r>
    </w:p>
    <w:p w14:paraId="6A99CFA1">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36" w:name="_Toc216989040"/>
      <w:bookmarkStart w:id="137" w:name="_Toc217984250"/>
      <w:bookmarkStart w:id="138" w:name="_Toc225513204"/>
      <w:r>
        <w:rPr>
          <w:rFonts w:hint="eastAsia" w:ascii="仿宋_GB2312"/>
          <w:color w:val="auto"/>
        </w:rPr>
        <w:t>四、健全生产要素保障体系</w:t>
      </w:r>
      <w:bookmarkEnd w:id="136"/>
      <w:bookmarkEnd w:id="137"/>
      <w:bookmarkEnd w:id="138"/>
    </w:p>
    <w:p w14:paraId="29BF4C46">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土地保障方面，优先保障重点产业项目用地，盘活低效工业用地与闲置农村宅基地，推行“弹性供地”“租让结合”等模式，降低企业用地成本。资金支持方面，落实产业发展、技术改造等奖补措施，深化政银企合作，缓解企业融资难题。数字赋能方面，引导企业建设智能工厂，推广工业互联网，实现生产过程智能化管控，推动产业数智化升级。</w:t>
      </w:r>
    </w:p>
    <w:p w14:paraId="0180C541">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p w14:paraId="23A0A113">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p w14:paraId="1B91AC5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p w14:paraId="7D363413">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p w14:paraId="7C6ADB83">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tbl>
      <w:tblPr>
        <w:tblStyle w:val="32"/>
        <w:tblW w:w="86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0"/>
      </w:tblGrid>
      <w:tr w14:paraId="3997E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00" w:type="dxa"/>
          </w:tcPr>
          <w:p w14:paraId="2ADDEBC7">
            <w:pPr>
              <w:ind w:firstLine="0" w:firstLineChars="0"/>
              <w:jc w:val="center"/>
              <w:rPr>
                <w:rFonts w:hint="eastAsia" w:ascii="宋体" w:hAnsi="宋体" w:eastAsia="宋体"/>
                <w:b/>
                <w:bCs/>
                <w:color w:val="auto"/>
                <w:kern w:val="0"/>
                <w:sz w:val="24"/>
                <w:szCs w:val="24"/>
              </w:rPr>
            </w:pPr>
            <w:r>
              <w:rPr>
                <w:rFonts w:hint="eastAsia" w:ascii="宋体" w:hAnsi="宋体" w:eastAsia="宋体"/>
                <w:b/>
                <w:bCs/>
                <w:color w:val="auto"/>
                <w:kern w:val="0"/>
                <w:sz w:val="24"/>
                <w:szCs w:val="24"/>
              </w:rPr>
              <w:t>专栏1：产业发展领域</w:t>
            </w:r>
          </w:p>
          <w:p w14:paraId="1EAAFCAC">
            <w:pPr>
              <w:ind w:firstLine="0" w:firstLineChars="0"/>
              <w:rPr>
                <w:rFonts w:hint="eastAsia" w:ascii="宋体" w:hAnsi="宋体" w:eastAsia="宋体"/>
                <w:color w:val="auto"/>
                <w:kern w:val="0"/>
                <w:sz w:val="24"/>
                <w:szCs w:val="24"/>
                <w:lang w:val="zh-CN"/>
              </w:rPr>
            </w:pPr>
            <w:r>
              <w:rPr>
                <w:rFonts w:hint="eastAsia" w:ascii="宋体" w:hAnsi="宋体" w:eastAsia="宋体"/>
                <w:b/>
                <w:bCs/>
                <w:color w:val="auto"/>
                <w:kern w:val="0"/>
                <w:sz w:val="24"/>
                <w:szCs w:val="24"/>
                <w:lang w:val="zh-CN"/>
              </w:rPr>
              <w:t>1.高端装备制造业：</w:t>
            </w:r>
            <w:r>
              <w:rPr>
                <w:rFonts w:hint="eastAsia" w:ascii="宋体" w:hAnsi="宋体" w:eastAsia="宋体"/>
                <w:color w:val="auto"/>
                <w:kern w:val="0"/>
                <w:sz w:val="24"/>
                <w:szCs w:val="24"/>
                <w:lang w:val="zh-CN"/>
              </w:rPr>
              <w:t>聚焦钢铁精深加工、新能源装备配套等领域，</w:t>
            </w:r>
            <w:r>
              <w:rPr>
                <w:rFonts w:hint="eastAsia" w:ascii="Times New Roman" w:hAnsi="Times New Roman" w:eastAsia="宋体" w:cs="Times New Roman"/>
                <w:bCs/>
                <w:color w:val="auto"/>
                <w:kern w:val="0"/>
                <w:sz w:val="24"/>
                <w:szCs w:val="24"/>
                <w:lang w:bidi="ar"/>
              </w:rPr>
              <w:t>加大</w:t>
            </w:r>
            <w:r>
              <w:rPr>
                <w:rFonts w:ascii="Times New Roman" w:hAnsi="Times New Roman" w:eastAsia="宋体" w:cs="Times New Roman"/>
                <w:bCs/>
                <w:color w:val="auto"/>
                <w:kern w:val="0"/>
                <w:sz w:val="24"/>
                <w:szCs w:val="24"/>
                <w:lang w:bidi="ar"/>
              </w:rPr>
              <w:t>关键基础零部件技术研发，推进装备制造智能化和产业化。</w:t>
            </w:r>
          </w:p>
          <w:p w14:paraId="20AC21FC">
            <w:pPr>
              <w:ind w:firstLine="0" w:firstLineChars="0"/>
              <w:rPr>
                <w:rFonts w:hint="eastAsia" w:ascii="宋体" w:hAnsi="宋体" w:eastAsia="宋体"/>
                <w:b/>
                <w:bCs/>
                <w:color w:val="auto"/>
                <w:kern w:val="0"/>
                <w:sz w:val="24"/>
                <w:szCs w:val="24"/>
              </w:rPr>
            </w:pPr>
            <w:r>
              <w:rPr>
                <w:rFonts w:hint="eastAsia" w:ascii="宋体" w:hAnsi="宋体" w:eastAsia="宋体"/>
                <w:b/>
                <w:bCs/>
                <w:color w:val="auto"/>
                <w:kern w:val="0"/>
                <w:sz w:val="24"/>
                <w:szCs w:val="24"/>
              </w:rPr>
              <w:t>2.未</w:t>
            </w:r>
            <w:r>
              <w:rPr>
                <w:rFonts w:hint="eastAsia" w:ascii="宋体" w:hAnsi="宋体" w:eastAsia="宋体"/>
                <w:b/>
                <w:bCs/>
                <w:color w:val="auto"/>
                <w:kern w:val="0"/>
                <w:sz w:val="24"/>
                <w:szCs w:val="24"/>
                <w:lang w:val="zh-CN"/>
              </w:rPr>
              <w:t>来产业培育攻坚：</w:t>
            </w:r>
            <w:r>
              <w:rPr>
                <w:rFonts w:hint="eastAsia" w:ascii="宋体" w:hAnsi="宋体" w:eastAsia="宋体"/>
                <w:color w:val="auto"/>
                <w:kern w:val="0"/>
                <w:sz w:val="24"/>
                <w:szCs w:val="24"/>
                <w:lang w:val="zh-CN"/>
              </w:rPr>
              <w:t>抢抓低空经济发展机遇，谋划县级低空飞行应用场景，拓展其在文旅航拍、农林植保、应急救援等领域的商业化应用；布局特色应急装备产业，培育</w:t>
            </w:r>
            <w:r>
              <w:rPr>
                <w:rFonts w:ascii="宋体" w:hAnsi="宋体" w:eastAsia="宋体"/>
                <w:color w:val="auto"/>
                <w:kern w:val="0"/>
                <w:sz w:val="24"/>
                <w:szCs w:val="24"/>
                <w:lang w:val="zh-CN"/>
              </w:rPr>
              <w:t>“</w:t>
            </w:r>
            <w:r>
              <w:rPr>
                <w:rFonts w:hint="eastAsia" w:ascii="宋体" w:hAnsi="宋体" w:eastAsia="宋体"/>
                <w:color w:val="auto"/>
                <w:kern w:val="0"/>
                <w:sz w:val="24"/>
                <w:szCs w:val="24"/>
                <w:lang w:val="zh-CN"/>
              </w:rPr>
              <w:t>研发-生产-应用</w:t>
            </w:r>
            <w:r>
              <w:rPr>
                <w:rFonts w:ascii="宋体" w:hAnsi="宋体" w:eastAsia="宋体"/>
                <w:color w:val="auto"/>
                <w:kern w:val="0"/>
                <w:sz w:val="24"/>
                <w:szCs w:val="24"/>
                <w:lang w:val="zh-CN"/>
              </w:rPr>
              <w:t>”</w:t>
            </w:r>
            <w:r>
              <w:rPr>
                <w:rFonts w:hint="eastAsia" w:ascii="宋体" w:hAnsi="宋体" w:eastAsia="宋体"/>
                <w:color w:val="auto"/>
                <w:kern w:val="0"/>
                <w:sz w:val="24"/>
                <w:szCs w:val="24"/>
                <w:lang w:val="zh-CN"/>
              </w:rPr>
              <w:t>一体化产业体系。</w:t>
            </w:r>
          </w:p>
          <w:p w14:paraId="06A08FAD">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3.“共享智造”协同工程：</w:t>
            </w:r>
            <w:r>
              <w:rPr>
                <w:rFonts w:hint="eastAsia" w:ascii="宋体" w:hAnsi="宋体" w:eastAsia="宋体"/>
                <w:color w:val="auto"/>
                <w:kern w:val="0"/>
                <w:sz w:val="24"/>
                <w:szCs w:val="24"/>
              </w:rPr>
              <w:t>谋划推动龙头企业核心业务系统</w:t>
            </w:r>
            <w:r>
              <w:rPr>
                <w:rFonts w:ascii="宋体" w:hAnsi="宋体" w:eastAsia="宋体"/>
                <w:color w:val="auto"/>
                <w:kern w:val="0"/>
                <w:sz w:val="24"/>
                <w:szCs w:val="24"/>
              </w:rPr>
              <w:t>“</w:t>
            </w:r>
            <w:r>
              <w:rPr>
                <w:rFonts w:hint="eastAsia" w:ascii="宋体" w:hAnsi="宋体" w:eastAsia="宋体"/>
                <w:color w:val="auto"/>
                <w:kern w:val="0"/>
                <w:sz w:val="24"/>
                <w:szCs w:val="24"/>
              </w:rPr>
              <w:t>上云</w:t>
            </w:r>
            <w:r>
              <w:rPr>
                <w:rFonts w:ascii="宋体" w:hAnsi="宋体" w:eastAsia="宋体"/>
                <w:color w:val="auto"/>
                <w:kern w:val="0"/>
                <w:sz w:val="24"/>
                <w:szCs w:val="24"/>
              </w:rPr>
              <w:t>”</w:t>
            </w:r>
            <w:r>
              <w:rPr>
                <w:rFonts w:hint="eastAsia" w:ascii="宋体" w:hAnsi="宋体" w:eastAsia="宋体"/>
                <w:color w:val="auto"/>
                <w:kern w:val="0"/>
                <w:sz w:val="24"/>
                <w:szCs w:val="24"/>
              </w:rPr>
              <w:t>，向产业链中小企业开放设备互联、数据分析等服务，促进产业链协同发展；推动开发智慧导览、线上研学等数字化服务，打造沉浸式文旅体验场景。</w:t>
            </w:r>
          </w:p>
          <w:p w14:paraId="58B48C21">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4.京津冀储能应用工程：</w:t>
            </w:r>
            <w:r>
              <w:rPr>
                <w:rFonts w:hint="eastAsia" w:ascii="宋体" w:hAnsi="宋体" w:eastAsia="宋体"/>
                <w:color w:val="auto"/>
                <w:kern w:val="0"/>
                <w:sz w:val="24"/>
                <w:szCs w:val="24"/>
              </w:rPr>
              <w:t>谋划推进储能电池生产，配套储能测试；谋划在西部山区采取“点状供地”的方式布局储能项目，探索</w:t>
            </w:r>
            <w:r>
              <w:rPr>
                <w:rFonts w:ascii="宋体" w:hAnsi="宋体" w:eastAsia="宋体"/>
                <w:color w:val="auto"/>
                <w:kern w:val="0"/>
                <w:sz w:val="24"/>
                <w:szCs w:val="24"/>
              </w:rPr>
              <w:t>“</w:t>
            </w:r>
            <w:r>
              <w:rPr>
                <w:rFonts w:hint="eastAsia" w:ascii="宋体" w:hAnsi="宋体" w:eastAsia="宋体"/>
                <w:color w:val="auto"/>
                <w:kern w:val="0"/>
                <w:sz w:val="24"/>
                <w:szCs w:val="24"/>
              </w:rPr>
              <w:t>光伏+储能+微电网</w:t>
            </w:r>
            <w:r>
              <w:rPr>
                <w:rFonts w:ascii="宋体" w:hAnsi="宋体" w:eastAsia="宋体"/>
                <w:color w:val="auto"/>
                <w:kern w:val="0"/>
                <w:sz w:val="24"/>
                <w:szCs w:val="24"/>
              </w:rPr>
              <w:t>”</w:t>
            </w:r>
            <w:r>
              <w:rPr>
                <w:rFonts w:hint="eastAsia" w:ascii="宋体" w:hAnsi="宋体" w:eastAsia="宋体"/>
                <w:color w:val="auto"/>
                <w:kern w:val="0"/>
                <w:sz w:val="24"/>
                <w:szCs w:val="24"/>
              </w:rPr>
              <w:t>模式。</w:t>
            </w:r>
          </w:p>
          <w:p w14:paraId="2170B53E">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5.现代物流提质：</w:t>
            </w:r>
            <w:r>
              <w:rPr>
                <w:rFonts w:hint="eastAsia" w:ascii="宋体" w:hAnsi="宋体" w:eastAsia="宋体"/>
                <w:color w:val="auto"/>
                <w:kern w:val="0"/>
                <w:sz w:val="24"/>
                <w:szCs w:val="24"/>
              </w:rPr>
              <w:t>推进平山县县域快递物流中心建设，建设智能分拣中心及物流信息平台、标准化云仓（仓储）、电商等功能区域，引进快递企业入驻。</w:t>
            </w:r>
          </w:p>
          <w:p w14:paraId="7BE5CA89">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6.商贸服务业升级：</w:t>
            </w:r>
            <w:r>
              <w:rPr>
                <w:rFonts w:hint="eastAsia" w:ascii="宋体" w:hAnsi="宋体" w:eastAsia="宋体"/>
                <w:color w:val="auto"/>
                <w:kern w:val="0"/>
                <w:sz w:val="24"/>
                <w:szCs w:val="24"/>
              </w:rPr>
              <w:t>推动核心商业街区改造，引入多元业态，培育特色消费商圈；发展夜间经济，打造夜游、夜购、夜娱场景。</w:t>
            </w:r>
          </w:p>
        </w:tc>
      </w:tr>
    </w:tbl>
    <w:p w14:paraId="1296370A">
      <w:pPr>
        <w:widowControl/>
        <w:spacing w:line="240" w:lineRule="auto"/>
        <w:ind w:firstLine="0" w:firstLineChars="0"/>
        <w:jc w:val="left"/>
        <w:rPr>
          <w:rFonts w:hint="eastAsia" w:eastAsia="黑体"/>
          <w:b/>
          <w:bCs/>
          <w:color w:val="auto"/>
          <w:kern w:val="44"/>
          <w:szCs w:val="44"/>
        </w:rPr>
      </w:pPr>
      <w:r>
        <w:rPr>
          <w:rFonts w:hint="eastAsia"/>
          <w:color w:val="auto"/>
        </w:rPr>
        <w:br w:type="page"/>
      </w:r>
    </w:p>
    <w:p w14:paraId="27CA35D4">
      <w:pPr>
        <w:pStyle w:val="2"/>
        <w:pageBreakBefore w:val="0"/>
        <w:widowControl w:val="0"/>
        <w:kinsoku/>
        <w:wordWrap/>
        <w:overflowPunct/>
        <w:topLinePunct w:val="0"/>
        <w:autoSpaceDE/>
        <w:autoSpaceDN/>
        <w:bidi w:val="0"/>
        <w:adjustRightInd/>
        <w:snapToGrid/>
        <w:spacing w:line="580" w:lineRule="exact"/>
        <w:ind w:firstLine="643"/>
        <w:textAlignment w:val="auto"/>
        <w:rPr>
          <w:rFonts w:hint="eastAsia" w:ascii="仿宋" w:hAnsi="仿宋"/>
          <w:color w:val="auto"/>
          <w:szCs w:val="32"/>
        </w:rPr>
      </w:pPr>
      <w:bookmarkStart w:id="139" w:name="_Toc216989041"/>
      <w:bookmarkStart w:id="140" w:name="_Toc217984251"/>
      <w:bookmarkStart w:id="141" w:name="_Toc225513205"/>
      <w:bookmarkStart w:id="142" w:name="OLE_LINK15"/>
      <w:r>
        <w:rPr>
          <w:rFonts w:hint="eastAsia"/>
          <w:color w:val="auto"/>
        </w:rPr>
        <w:t>第三篇 聚焦新质生产力，激活创新发展动</w:t>
      </w:r>
      <w:bookmarkEnd w:id="139"/>
      <w:bookmarkEnd w:id="140"/>
      <w:r>
        <w:rPr>
          <w:rFonts w:hint="eastAsia"/>
          <w:color w:val="auto"/>
        </w:rPr>
        <w:t>能</w:t>
      </w:r>
      <w:bookmarkEnd w:id="141"/>
    </w:p>
    <w:bookmarkEnd w:id="142"/>
    <w:p w14:paraId="137FCC87">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Times New Roman"/>
          <w:color w:val="auto"/>
          <w:szCs w:val="32"/>
        </w:rPr>
        <w:t>全面落实党的二十届四中全会“加快高水平科技自立自强”部署要求，以西柏坡经济开发区为载体，大力实施创新驱动发展战略，构建以“场景牵引、数据赋能、平台支撑、人才驱动”为特征的县域</w:t>
      </w:r>
      <w:r>
        <w:rPr>
          <w:rFonts w:hint="eastAsia" w:ascii="仿宋_GB2312" w:hAnsi="仿宋"/>
          <w:color w:val="auto"/>
        </w:rPr>
        <w:t>创新发展业态，为县域高质量发展注入持久创新动能。</w:t>
      </w:r>
    </w:p>
    <w:p w14:paraId="28D60799">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143" w:name="_Toc217984252"/>
      <w:bookmarkStart w:id="144" w:name="_Toc216989042"/>
      <w:bookmarkStart w:id="145" w:name="_Toc225513206"/>
      <w:bookmarkStart w:id="146" w:name="_Toc211251934"/>
      <w:r>
        <w:rPr>
          <w:rFonts w:hint="eastAsia" w:ascii="楷体_GB2312" w:hAnsi="楷体_GB2312" w:cs="楷体_GB2312"/>
          <w:color w:val="auto"/>
        </w:rPr>
        <w:t xml:space="preserve">第一章 </w:t>
      </w:r>
      <w:bookmarkEnd w:id="143"/>
      <w:bookmarkEnd w:id="144"/>
      <w:r>
        <w:rPr>
          <w:rFonts w:hint="eastAsia" w:ascii="楷体_GB2312" w:hAnsi="楷体_GB2312" w:cs="楷体_GB2312"/>
          <w:color w:val="auto"/>
        </w:rPr>
        <w:t>加强西柏坡经济开发区载体建设</w:t>
      </w:r>
      <w:bookmarkEnd w:id="145"/>
    </w:p>
    <w:p w14:paraId="35EE4708">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hAnsi="仿宋_GB2312"/>
          <w:color w:val="auto"/>
          <w:szCs w:val="32"/>
        </w:rPr>
        <w:t>围绕打造具有坚强配套服务能力的低成本化园区，持续加大西柏坡经济开发区建设力度，努力实现精品钢材、高端装备制造等主导</w:t>
      </w:r>
      <w:r>
        <w:rPr>
          <w:rFonts w:hint="eastAsia" w:ascii="仿宋_GB2312"/>
          <w:color w:val="auto"/>
        </w:rPr>
        <w:t>产业效益大幅提升，电子信息、新能源、新材料等新兴产业聚集效应凸显，科技创新能力显著提高，对全县经济社会发展的支撑作用进一步增强。</w:t>
      </w:r>
    </w:p>
    <w:p w14:paraId="1127DE91">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47" w:name="_Toc217984253"/>
      <w:bookmarkStart w:id="148" w:name="_Toc225513207"/>
      <w:bookmarkStart w:id="149" w:name="_Toc216989043"/>
      <w:r>
        <w:rPr>
          <w:rFonts w:hint="eastAsia" w:ascii="仿宋_GB2312"/>
          <w:color w:val="auto"/>
        </w:rPr>
        <w:t>一、构建高能级创新平台矩阵</w:t>
      </w:r>
      <w:bookmarkEnd w:id="147"/>
      <w:bookmarkEnd w:id="148"/>
      <w:bookmarkEnd w:id="149"/>
    </w:p>
    <w:p w14:paraId="4192204A">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优化园区创新空间布局，划定“创新核心区”，集中建设中试车间、公共检测平台、技术转移中心，构建覆盖研发、中试、转化的全链条创新服务体系。针对钢铁、新能源、应急装备等产业，搭建共性技术服务平台，整合研发设备、检测仪器等资源，面向园区企业开放共享，降低中小企业创新成本。深化产学研协同创新，推动园区与京津冀重点园区、高校院所建立长期合作关系，共建飞地研发中心、联合实验室，借力外部资源攻克关键技术，</w:t>
      </w:r>
      <w:r>
        <w:rPr>
          <w:rFonts w:hint="eastAsia" w:ascii="仿宋_GB2312" w:hAnsi="仿宋"/>
          <w:color w:val="auto"/>
        </w:rPr>
        <w:t>探索构建“研发在京津、制造在平山、配套在平山”的合作模式</w:t>
      </w:r>
      <w:r>
        <w:rPr>
          <w:rFonts w:hint="eastAsia" w:ascii="仿宋_GB2312"/>
          <w:color w:val="auto"/>
        </w:rPr>
        <w:t>。</w:t>
      </w:r>
    </w:p>
    <w:p w14:paraId="1DED98E4">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50" w:name="_Toc217984254"/>
      <w:bookmarkStart w:id="151" w:name="_Toc216989044"/>
      <w:bookmarkStart w:id="152" w:name="_Toc225513208"/>
      <w:r>
        <w:rPr>
          <w:rFonts w:hint="eastAsia" w:ascii="仿宋_GB2312"/>
          <w:color w:val="auto"/>
        </w:rPr>
        <w:t>二、提升现代化园区基础设施</w:t>
      </w:r>
      <w:bookmarkEnd w:id="150"/>
      <w:bookmarkEnd w:id="151"/>
      <w:r>
        <w:rPr>
          <w:rFonts w:hint="eastAsia" w:ascii="仿宋_GB2312"/>
          <w:color w:val="auto"/>
        </w:rPr>
        <w:t>水平</w:t>
      </w:r>
      <w:bookmarkEnd w:id="152"/>
    </w:p>
    <w:p w14:paraId="3F0F2CC8">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围绕产业发展需求，实施基础设施专项升级行动，布局建设蒸汽管网、天燃气管网等生产性配套设施，以及道路、充电桩、消防站等功能性配套设施，服务保障产业发展。加快新型基础设施建设，推动园区“5G+工业互联网”全覆盖，支持大数据、人工智能等新一代信息技术与园区发展深度融合，打造智能化、数字化园区环境。</w:t>
      </w:r>
    </w:p>
    <w:p w14:paraId="4435D936">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153" w:name="_Toc225513209"/>
      <w:r>
        <w:rPr>
          <w:rFonts w:hint="eastAsia"/>
          <w:color w:val="auto"/>
        </w:rPr>
        <w:t>三、推动园区</w:t>
      </w:r>
      <w:r>
        <w:rPr>
          <w:rFonts w:hint="eastAsia" w:ascii="仿宋_GB2312"/>
          <w:color w:val="auto"/>
        </w:rPr>
        <w:t>“四个平台”协同共建</w:t>
      </w:r>
      <w:bookmarkEnd w:id="153"/>
    </w:p>
    <w:p w14:paraId="60DABD5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大力推进“投融资、担保服务、科技创新、市政保障”四个平台建设，通过投融资平台创新投融资模式，搭建银企对接通道；通过担保服务平台推行普惠政策，深化再担保合作，破解中小微企业融资难题；通过科技创新平台整合产学研资源，线上线下联动，助力创新链、产业链融合；通过市政保障平台推进基础设施建设，提供良好发展环境。</w:t>
      </w:r>
    </w:p>
    <w:p w14:paraId="429D97F4">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154" w:name="_Toc225513210"/>
      <w:r>
        <w:rPr>
          <w:rFonts w:hint="eastAsia"/>
          <w:color w:val="auto"/>
        </w:rPr>
        <w:t>四、持续激发园区发展动能</w:t>
      </w:r>
      <w:bookmarkEnd w:id="154"/>
    </w:p>
    <w:p w14:paraId="32DB491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扎实推进西柏坡经济开发区调区扩区，进一步拓展园区承载空间。深化园区体制机制改革，落实“标准地+承诺制”改革，创新人事薪酬与审批制度，持续开展低效用地整治提升。完善企业对接服务机制，构建“亲清”政商关系，不断优化营商环境，增强园区竞争力。</w:t>
      </w:r>
    </w:p>
    <w:p w14:paraId="218F4B26">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155" w:name="_Toc225513211"/>
      <w:bookmarkStart w:id="156" w:name="_Toc217984256"/>
      <w:bookmarkStart w:id="157" w:name="_Toc216989046"/>
      <w:r>
        <w:rPr>
          <w:rFonts w:hint="eastAsia" w:ascii="楷体_GB2312" w:hAnsi="楷体_GB2312" w:cs="楷体_GB2312"/>
          <w:color w:val="auto"/>
        </w:rPr>
        <w:t>第二章 强化企业创新主体地位</w:t>
      </w:r>
      <w:bookmarkEnd w:id="155"/>
      <w:bookmarkEnd w:id="156"/>
      <w:bookmarkEnd w:id="157"/>
    </w:p>
    <w:p w14:paraId="1142C43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以激发经营主体创新活力为核心，构建“龙头引领、中小协同、梯队培育”的创新企业体系，推动创新资源向企业集聚、创新政策向企业倾斜、创新成果向产业转化，让企业真正成为技术创新决策、研发投入、成果转化的主体。</w:t>
      </w:r>
    </w:p>
    <w:p w14:paraId="496DB8BC">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158" w:name="_Toc217984257"/>
      <w:bookmarkStart w:id="159" w:name="_Toc216989047"/>
      <w:bookmarkStart w:id="160" w:name="_Toc225513212"/>
      <w:r>
        <w:rPr>
          <w:rFonts w:hint="eastAsia"/>
          <w:color w:val="auto"/>
        </w:rPr>
        <w:t>一、助力龙头企业创新</w:t>
      </w:r>
      <w:bookmarkEnd w:id="158"/>
      <w:bookmarkEnd w:id="159"/>
      <w:r>
        <w:rPr>
          <w:rFonts w:hint="eastAsia"/>
          <w:color w:val="auto"/>
        </w:rPr>
        <w:t>引领</w:t>
      </w:r>
      <w:bookmarkEnd w:id="160"/>
    </w:p>
    <w:p w14:paraId="1154E6D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依托钢铁、新能源、高端装备制造等现有产业基础，支持敬业集团等龙头企业牵头组建创新联合体，联合京津冀高校院所开展关键核心技术攻关，重点突破低碳冶金、高端特种钢、储能装备等领域的“卡脖子”技术。鼓励企业创建国家级、省级企业技术中心、工程研究中心等高能级创新平台，推动企业研发经费投入强度持续提升。支持企业开放共享研发设备、检验检测平台、技术数据等资源，带动产业链上下游中小企业协同创新，形成“龙头带中小、中小助龙头”的创新生态。</w:t>
      </w:r>
    </w:p>
    <w:p w14:paraId="01282764">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161" w:name="_Toc217984258"/>
      <w:bookmarkStart w:id="162" w:name="_Toc225513213"/>
      <w:bookmarkStart w:id="163" w:name="_Toc216989048"/>
      <w:r>
        <w:rPr>
          <w:rFonts w:hint="eastAsia"/>
          <w:color w:val="auto"/>
        </w:rPr>
        <w:t>二、开展科技型企业梯度培育</w:t>
      </w:r>
      <w:bookmarkEnd w:id="161"/>
      <w:bookmarkEnd w:id="162"/>
      <w:bookmarkEnd w:id="163"/>
    </w:p>
    <w:p w14:paraId="7C7BC8AB">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建立健全培育企业动态名录，开展创新能力评估，落实研发费用加计扣除等政策，鼓励企业深耕细分市场、突破细分领域关键技术，在项目申报、人才引育、融资信贷等方面给予优先支持，</w:t>
      </w:r>
      <w:r>
        <w:rPr>
          <w:rFonts w:ascii="仿宋_GB2312"/>
          <w:color w:val="auto"/>
        </w:rPr>
        <w:t>集中力量打造一批专精特新</w:t>
      </w:r>
      <w:r>
        <w:rPr>
          <w:rFonts w:hint="eastAsia" w:ascii="仿宋_GB2312"/>
          <w:color w:val="auto"/>
        </w:rPr>
        <w:t>“</w:t>
      </w:r>
      <w:r>
        <w:rPr>
          <w:rFonts w:ascii="仿宋_GB2312"/>
          <w:color w:val="auto"/>
        </w:rPr>
        <w:t>小巨人</w:t>
      </w:r>
      <w:r>
        <w:rPr>
          <w:rFonts w:hint="eastAsia" w:ascii="仿宋_GB2312"/>
          <w:color w:val="auto"/>
        </w:rPr>
        <w:t>”</w:t>
      </w:r>
      <w:r>
        <w:rPr>
          <w:rFonts w:ascii="仿宋_GB2312"/>
          <w:color w:val="auto"/>
        </w:rPr>
        <w:t>企业，推动形成一批制造业单项冠军、隐形冠军，</w:t>
      </w:r>
      <w:r>
        <w:rPr>
          <w:rFonts w:hint="eastAsia" w:ascii="仿宋_GB2312"/>
          <w:color w:val="auto"/>
        </w:rPr>
        <w:t>培育一批科技型中小企业、高新技术企业，</w:t>
      </w:r>
      <w:r>
        <w:rPr>
          <w:rFonts w:ascii="仿宋_GB2312"/>
          <w:color w:val="auto"/>
        </w:rPr>
        <w:t>形成科技创新主体集群</w:t>
      </w:r>
      <w:r>
        <w:rPr>
          <w:rFonts w:hint="eastAsia" w:ascii="仿宋_GB2312"/>
          <w:color w:val="auto"/>
        </w:rPr>
        <w:t>。</w:t>
      </w:r>
    </w:p>
    <w:p w14:paraId="33CE41CF">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164" w:name="_Toc217984259"/>
      <w:bookmarkStart w:id="165" w:name="_Toc225513214"/>
      <w:bookmarkStart w:id="166" w:name="_Toc216989049"/>
      <w:r>
        <w:rPr>
          <w:rFonts w:hint="eastAsia"/>
          <w:color w:val="auto"/>
        </w:rPr>
        <w:t>三、推动产学研深度融合</w:t>
      </w:r>
      <w:bookmarkEnd w:id="164"/>
      <w:bookmarkEnd w:id="165"/>
      <w:bookmarkEnd w:id="166"/>
    </w:p>
    <w:p w14:paraId="0ABF609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搭建常态化产学研对接平台，组织企业与高校院所开展“面对面”合作洽谈活动，促进创新需求与科研成果精准对接。支持企业与高校院所共建联合实验室、中试车间、产业学院，围绕产业发展需求联合申报科研项目、培养专业人才，打通“实验室—中试—产业化”转化通道，推动科技成果加快在平山转化。鼓励企业参与制定行业标准，将技术优势转化为标准优势，提升行业话语权。</w:t>
      </w:r>
    </w:p>
    <w:p w14:paraId="6AEA4CA3">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167" w:name="_Toc216989050"/>
      <w:bookmarkStart w:id="168" w:name="_Toc217984260"/>
      <w:bookmarkStart w:id="169" w:name="_Toc225513215"/>
      <w:r>
        <w:rPr>
          <w:rFonts w:hint="eastAsia" w:ascii="楷体_GB2312" w:hAnsi="楷体_GB2312" w:cs="楷体_GB2312"/>
          <w:color w:val="auto"/>
        </w:rPr>
        <w:t xml:space="preserve">第三章 </w:t>
      </w:r>
      <w:bookmarkEnd w:id="146"/>
      <w:bookmarkEnd w:id="167"/>
      <w:bookmarkEnd w:id="168"/>
      <w:r>
        <w:rPr>
          <w:rFonts w:hint="eastAsia" w:ascii="楷体_GB2312" w:hAnsi="楷体_GB2312" w:cs="楷体_GB2312"/>
          <w:color w:val="auto"/>
        </w:rPr>
        <w:t>加强创新人才队伍建设</w:t>
      </w:r>
      <w:bookmarkEnd w:id="169"/>
    </w:p>
    <w:p w14:paraId="398AEEBE">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70" w:name="_Toc216989055"/>
      <w:bookmarkStart w:id="171" w:name="_Toc217984265"/>
      <w:bookmarkStart w:id="172" w:name="_Toc225513216"/>
      <w:bookmarkStart w:id="173" w:name="_Toc211251943"/>
      <w:r>
        <w:rPr>
          <w:rFonts w:hint="eastAsia" w:ascii="仿宋_GB2312"/>
          <w:color w:val="auto"/>
        </w:rPr>
        <w:t>一、实施“精准靶向”的引才策略</w:t>
      </w:r>
      <w:bookmarkEnd w:id="170"/>
      <w:bookmarkEnd w:id="171"/>
      <w:bookmarkEnd w:id="172"/>
      <w:bookmarkEnd w:id="173"/>
    </w:p>
    <w:p w14:paraId="21F5CDA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ascii="Times New Roman" w:hAnsi="Times New Roman" w:cs="Times New Roman"/>
          <w:bCs/>
          <w:color w:val="auto"/>
          <w:szCs w:val="24"/>
        </w:rPr>
        <w:t>围绕国家重大人才计划</w:t>
      </w:r>
      <w:r>
        <w:rPr>
          <w:rFonts w:hint="eastAsia" w:ascii="Times New Roman" w:hAnsi="Times New Roman" w:cs="Times New Roman"/>
          <w:bCs/>
          <w:color w:val="auto"/>
          <w:szCs w:val="24"/>
        </w:rPr>
        <w:t>、</w:t>
      </w:r>
      <w:r>
        <w:rPr>
          <w:rFonts w:ascii="Times New Roman" w:hAnsi="Times New Roman" w:cs="Times New Roman"/>
          <w:bCs/>
          <w:color w:val="auto"/>
          <w:szCs w:val="24"/>
        </w:rPr>
        <w:t>燕赵黄金台聚才计划</w:t>
      </w:r>
      <w:r>
        <w:rPr>
          <w:rFonts w:hint="eastAsia" w:ascii="Times New Roman" w:hAnsi="Times New Roman" w:cs="Times New Roman"/>
          <w:bCs/>
          <w:color w:val="auto"/>
          <w:szCs w:val="24"/>
        </w:rPr>
        <w:t>、石家庄“</w:t>
      </w:r>
      <w:r>
        <w:rPr>
          <w:rFonts w:ascii="Times New Roman" w:hAnsi="Times New Roman" w:cs="Times New Roman"/>
          <w:bCs/>
          <w:color w:val="auto"/>
          <w:szCs w:val="24"/>
        </w:rPr>
        <w:t>兴石英才</w:t>
      </w:r>
      <w:r>
        <w:rPr>
          <w:rFonts w:hint="eastAsia" w:ascii="Times New Roman" w:hAnsi="Times New Roman" w:cs="Times New Roman"/>
          <w:bCs/>
          <w:color w:val="auto"/>
          <w:szCs w:val="24"/>
        </w:rPr>
        <w:t>”</w:t>
      </w:r>
      <w:r>
        <w:rPr>
          <w:rFonts w:ascii="Times New Roman" w:hAnsi="Times New Roman" w:cs="Times New Roman"/>
          <w:bCs/>
          <w:color w:val="auto"/>
          <w:szCs w:val="24"/>
        </w:rPr>
        <w:t>计划，</w:t>
      </w:r>
      <w:r>
        <w:rPr>
          <w:rFonts w:hint="eastAsia" w:ascii="Times New Roman" w:hAnsi="Times New Roman" w:cs="Times New Roman"/>
          <w:bCs/>
          <w:color w:val="auto"/>
          <w:szCs w:val="24"/>
        </w:rPr>
        <w:t>落实</w:t>
      </w:r>
      <w:r>
        <w:rPr>
          <w:rFonts w:hint="eastAsia" w:ascii="仿宋_GB2312" w:hAnsi="仿宋"/>
          <w:color w:val="auto"/>
        </w:rPr>
        <w:t>人才绿卡、“以编引才”等引才政策，推广“周末工程师”“候鸟专家”等柔性引才模式，畅通高校、科研院所、企业人才交流通道，每年吸引一批优秀的京津冀技术人才、高学历高素质人才、在外平山人才等来平山就业创业，为全县发展增智赋能。</w:t>
      </w:r>
    </w:p>
    <w:p w14:paraId="6DDF8FAD">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74" w:name="_Toc217984266"/>
      <w:bookmarkStart w:id="175" w:name="_Toc225513217"/>
      <w:bookmarkStart w:id="176" w:name="_Toc211251944"/>
      <w:bookmarkStart w:id="177" w:name="_Toc216989056"/>
      <w:r>
        <w:rPr>
          <w:rFonts w:hint="eastAsia" w:ascii="仿宋_GB2312"/>
          <w:color w:val="auto"/>
        </w:rPr>
        <w:t>二、构建“产教融合”的育才体系</w:t>
      </w:r>
      <w:bookmarkEnd w:id="174"/>
      <w:bookmarkEnd w:id="175"/>
      <w:bookmarkEnd w:id="176"/>
      <w:bookmarkEnd w:id="177"/>
    </w:p>
    <w:p w14:paraId="3497E466">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围绕钢铁产业转型、新兴产业发展、乡村全面振兴等方面人才需求，探索建立教育科技人才统筹合作机制，与河北工业职业技术大学、石家庄农林职业学院等大专院校加深合作，</w:t>
      </w:r>
      <w:r>
        <w:rPr>
          <w:rFonts w:ascii="Times New Roman" w:hAnsi="Times New Roman" w:cs="Times New Roman"/>
          <w:color w:val="auto"/>
          <w:kern w:val="0"/>
          <w:szCs w:val="32"/>
        </w:rPr>
        <w:t>深化产业工人队伍建设</w:t>
      </w:r>
      <w:r>
        <w:rPr>
          <w:rFonts w:hint="eastAsia" w:ascii="Times New Roman" w:hAnsi="Times New Roman" w:cs="Times New Roman"/>
          <w:color w:val="auto"/>
          <w:kern w:val="0"/>
          <w:szCs w:val="32"/>
        </w:rPr>
        <w:t>，</w:t>
      </w:r>
      <w:r>
        <w:rPr>
          <w:rFonts w:hint="eastAsia" w:ascii="仿宋_GB2312" w:hAnsi="仿宋_GB2312" w:cs="仿宋_GB2312"/>
          <w:color w:val="auto"/>
          <w:szCs w:val="32"/>
        </w:rPr>
        <w:t>为企业培养和输送本地技术人才。</w:t>
      </w:r>
      <w:r>
        <w:rPr>
          <w:rFonts w:hint="eastAsia" w:ascii="仿宋_GB2312" w:hAnsi="仿宋"/>
          <w:color w:val="auto"/>
        </w:rPr>
        <w:t>实施“平山工匠”培育计划，举办高质量职业技能大赛，在全社会营造尊重人才、关爱人才的浓厚氛围。</w:t>
      </w:r>
    </w:p>
    <w:p w14:paraId="4221DCF8">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178" w:name="_Toc225513218"/>
      <w:bookmarkStart w:id="179" w:name="_Toc216989057"/>
      <w:bookmarkStart w:id="180" w:name="_Toc211251945"/>
      <w:bookmarkStart w:id="181" w:name="_Toc217984267"/>
      <w:r>
        <w:rPr>
          <w:rFonts w:hint="eastAsia" w:ascii="仿宋_GB2312"/>
          <w:color w:val="auto"/>
        </w:rPr>
        <w:t>三、优化“暖心安心”的留才环境</w:t>
      </w:r>
      <w:bookmarkEnd w:id="178"/>
      <w:bookmarkEnd w:id="179"/>
      <w:bookmarkEnd w:id="180"/>
      <w:bookmarkEnd w:id="181"/>
    </w:p>
    <w:p w14:paraId="2826ED9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聚焦人才关心关切的“关键小事”，充分发挥政务服务中心人才服务窗口作用，为引进人才提供子女入学统筹协调、配偶就业精准推荐、医疗保障绿色通道等“一站式”服务。筹</w:t>
      </w:r>
      <w:r>
        <w:rPr>
          <w:rFonts w:hint="eastAsia" w:ascii="仿宋_GB2312" w:hAnsi="仿宋"/>
          <w:color w:val="auto"/>
          <w:lang w:eastAsia="zh-CN"/>
        </w:rPr>
        <w:t>集</w:t>
      </w:r>
      <w:r>
        <w:rPr>
          <w:rFonts w:hint="eastAsia" w:ascii="仿宋_GB2312" w:hAnsi="仿宋"/>
          <w:color w:val="auto"/>
        </w:rPr>
        <w:t>高品质人才公寓，配套完善生活服务设施，保障青年科技人才、技能领军人才等群体住房需求，落实住房补贴、子女教育等配套政策，让人才在平山安居乐业、安心发展。</w:t>
      </w:r>
    </w:p>
    <w:p w14:paraId="78765981">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182" w:name="_Toc225513219"/>
      <w:bookmarkStart w:id="183" w:name="_Toc211251942"/>
      <w:bookmarkStart w:id="184" w:name="_Toc217984264"/>
      <w:bookmarkStart w:id="185" w:name="_Toc216989054"/>
      <w:r>
        <w:rPr>
          <w:rFonts w:hint="eastAsia" w:ascii="楷体_GB2312" w:hAnsi="楷体_GB2312" w:cs="楷体_GB2312"/>
          <w:color w:val="auto"/>
        </w:rPr>
        <w:t>第四章 营造创新发展新业态</w:t>
      </w:r>
      <w:bookmarkEnd w:id="182"/>
    </w:p>
    <w:p w14:paraId="6F548FEA">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186" w:name="_Toc225513220"/>
      <w:bookmarkStart w:id="187" w:name="_Toc217984261"/>
      <w:bookmarkStart w:id="188" w:name="_Toc216989051"/>
      <w:r>
        <w:rPr>
          <w:rFonts w:hint="eastAsia"/>
          <w:color w:val="auto"/>
        </w:rPr>
        <w:t>一、用“数字赋能”创新发展模式</w:t>
      </w:r>
      <w:bookmarkEnd w:id="186"/>
      <w:bookmarkEnd w:id="187"/>
      <w:bookmarkEnd w:id="188"/>
    </w:p>
    <w:p w14:paraId="1A21ED23">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bookmarkStart w:id="189" w:name="_Toc211251935"/>
      <w:r>
        <w:rPr>
          <w:rFonts w:hint="eastAsia" w:ascii="仿宋_GB2312"/>
          <w:color w:val="auto"/>
        </w:rPr>
        <w:t>创新“数字+工业”融合发展模式</w:t>
      </w:r>
      <w:bookmarkEnd w:id="189"/>
      <w:r>
        <w:rPr>
          <w:rFonts w:hint="eastAsia" w:ascii="仿宋_GB2312"/>
          <w:color w:val="auto"/>
        </w:rPr>
        <w:t>，</w:t>
      </w:r>
      <w:r>
        <w:rPr>
          <w:rFonts w:hint="eastAsia" w:ascii="仿宋_GB2312" w:hAnsi="仿宋"/>
          <w:color w:val="auto"/>
        </w:rPr>
        <w:t>支持敬业集团建设“平山钢铁行业工业互联网平台”，推动各类工业企业核心业务系统“上云”，提升设备互联、数据共享与分析等</w:t>
      </w:r>
      <w:bookmarkStart w:id="190" w:name="_Toc211251937"/>
      <w:r>
        <w:rPr>
          <w:rFonts w:hint="eastAsia" w:ascii="仿宋_GB2312" w:hAnsi="仿宋"/>
          <w:color w:val="auto"/>
        </w:rPr>
        <w:t>技术水平。创新</w:t>
      </w:r>
      <w:r>
        <w:rPr>
          <w:rFonts w:hint="eastAsia" w:ascii="仿宋_GB2312"/>
          <w:color w:val="auto"/>
        </w:rPr>
        <w:t>“数字+大农业”融合发展模式</w:t>
      </w:r>
      <w:bookmarkEnd w:id="190"/>
      <w:r>
        <w:rPr>
          <w:rFonts w:hint="eastAsia" w:ascii="仿宋_GB2312"/>
          <w:color w:val="auto"/>
        </w:rPr>
        <w:t>，</w:t>
      </w:r>
      <w:r>
        <w:rPr>
          <w:rFonts w:hint="eastAsia" w:ascii="仿宋_GB2312" w:hAnsi="仿宋"/>
          <w:color w:val="auto"/>
        </w:rPr>
        <w:t>探索建立“平山大农业数据中心”，汇聚气象、土壤、林业、水利、生态等方面数据，为农户和新型农业经营主体提供高质量数据服务。</w:t>
      </w:r>
    </w:p>
    <w:p w14:paraId="22930533">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191" w:name="_Toc217984262"/>
      <w:bookmarkStart w:id="192" w:name="_Toc225513221"/>
      <w:bookmarkStart w:id="193" w:name="_Toc216989052"/>
      <w:r>
        <w:rPr>
          <w:rFonts w:hint="eastAsia"/>
          <w:color w:val="auto"/>
        </w:rPr>
        <w:t>二、以“场景牵引”拓展创新业态</w:t>
      </w:r>
      <w:bookmarkEnd w:id="191"/>
      <w:bookmarkEnd w:id="192"/>
      <w:bookmarkEnd w:id="193"/>
    </w:p>
    <w:p w14:paraId="7D3B32D1">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以红色文旅场景为牵引，拓展“红色文旅+数字沉浸”新业态；以应急保障场景为牵引，拓展“应急装备+抢险救援”新业态；以低空经济场景为牵引，拓展“低空技术+多空间应用”新业态</w:t>
      </w:r>
      <w:r>
        <w:rPr>
          <w:rFonts w:hint="eastAsia" w:ascii="仿宋_GB2312" w:hAnsi="仿宋_GB2312"/>
          <w:color w:val="auto"/>
        </w:rPr>
        <w:t>；</w:t>
      </w:r>
      <w:r>
        <w:rPr>
          <w:rFonts w:hint="eastAsia" w:ascii="仿宋_GB2312"/>
          <w:color w:val="auto"/>
        </w:rPr>
        <w:t>以绿色能源场景为牵引，拓展“智能电网+绿电直供”新业态；以城乡融合场景为牵引，拓展“数字治理+城乡服务”新业态；以现代农业场景为牵引，拓展“特色种养殖+食品加工”新业态。</w:t>
      </w:r>
    </w:p>
    <w:p w14:paraId="63196C17">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194" w:name="_Toc216989053"/>
      <w:bookmarkStart w:id="195" w:name="_Toc225513222"/>
      <w:bookmarkStart w:id="196" w:name="_Toc217984263"/>
      <w:r>
        <w:rPr>
          <w:rFonts w:hint="eastAsia"/>
          <w:color w:val="auto"/>
        </w:rPr>
        <w:t>三、以“数据要素”服务创新业态</w:t>
      </w:r>
      <w:bookmarkEnd w:id="194"/>
      <w:bookmarkEnd w:id="195"/>
      <w:bookmarkEnd w:id="196"/>
    </w:p>
    <w:p w14:paraId="6154AB69">
      <w:pPr>
        <w:pageBreakBefore w:val="0"/>
        <w:widowControl w:val="0"/>
        <w:kinsoku/>
        <w:wordWrap/>
        <w:overflowPunct/>
        <w:topLinePunct w:val="0"/>
        <w:autoSpaceDE/>
        <w:autoSpaceDN/>
        <w:bidi w:val="0"/>
        <w:adjustRightInd/>
        <w:snapToGrid/>
        <w:spacing w:line="580" w:lineRule="exact"/>
        <w:ind w:firstLine="640"/>
        <w:textAlignment w:val="auto"/>
        <w:rPr>
          <w:rFonts w:ascii="Times New Roman" w:hAnsi="Times New Roman" w:cs="Times New Roman"/>
          <w:color w:val="auto"/>
          <w:kern w:val="0"/>
          <w:szCs w:val="32"/>
        </w:rPr>
      </w:pPr>
      <w:r>
        <w:rPr>
          <w:rFonts w:hint="eastAsia"/>
          <w:color w:val="auto"/>
        </w:rPr>
        <w:t>把数据资源作为生产要素，</w:t>
      </w:r>
      <w:r>
        <w:rPr>
          <w:rFonts w:hint="eastAsia" w:ascii="仿宋_GB2312"/>
          <w:color w:val="auto"/>
        </w:rPr>
        <w:t>建立数据资源确权、流通、交易的规范化机制，构建“数据采集-加工分析-增值服务-收益分成”的良性商业模式，引导企业开放共享数据，</w:t>
      </w:r>
      <w:r>
        <w:rPr>
          <w:rFonts w:hint="eastAsia"/>
          <w:color w:val="auto"/>
        </w:rPr>
        <w:t>开展数据深度分析，为企业提供定制化增值服务，</w:t>
      </w:r>
      <w:r>
        <w:rPr>
          <w:rFonts w:hint="eastAsia" w:ascii="仿宋_GB2312"/>
          <w:color w:val="auto"/>
        </w:rPr>
        <w:t>充分释放数据要素价值。</w:t>
      </w:r>
      <w:r>
        <w:rPr>
          <w:rFonts w:ascii="Times New Roman" w:hAnsi="Times New Roman" w:cs="Times New Roman"/>
          <w:color w:val="auto"/>
          <w:kern w:val="0"/>
          <w:szCs w:val="32"/>
        </w:rPr>
        <w:t>加强公共数据资源的汇聚和治理，</w:t>
      </w:r>
      <w:r>
        <w:rPr>
          <w:rFonts w:hint="eastAsia" w:ascii="Times New Roman" w:hAnsi="Times New Roman" w:cs="Times New Roman"/>
          <w:color w:val="auto"/>
          <w:kern w:val="0"/>
          <w:szCs w:val="32"/>
        </w:rPr>
        <w:t>强化</w:t>
      </w:r>
      <w:r>
        <w:rPr>
          <w:rFonts w:ascii="Times New Roman" w:hAnsi="Times New Roman" w:cs="Times New Roman"/>
          <w:color w:val="auto"/>
          <w:kern w:val="0"/>
          <w:szCs w:val="32"/>
        </w:rPr>
        <w:t>数据安全与隐私保护监管，</w:t>
      </w:r>
      <w:r>
        <w:rPr>
          <w:rFonts w:hint="eastAsia" w:ascii="Times New Roman" w:hAnsi="Times New Roman" w:cs="Times New Roman"/>
          <w:color w:val="auto"/>
          <w:kern w:val="0"/>
          <w:szCs w:val="32"/>
        </w:rPr>
        <w:t>营造</w:t>
      </w:r>
      <w:r>
        <w:rPr>
          <w:rFonts w:ascii="Times New Roman" w:hAnsi="Times New Roman" w:cs="Times New Roman"/>
          <w:color w:val="auto"/>
          <w:kern w:val="0"/>
          <w:szCs w:val="32"/>
        </w:rPr>
        <w:t>活跃、健康、可持续的数据产业生态。</w:t>
      </w:r>
    </w:p>
    <w:p w14:paraId="6D7C799E">
      <w:pPr>
        <w:ind w:firstLine="640"/>
        <w:rPr>
          <w:rFonts w:ascii="Times New Roman" w:hAnsi="Times New Roman" w:cs="Times New Roman"/>
          <w:color w:val="auto"/>
          <w:kern w:val="0"/>
          <w:szCs w:val="32"/>
        </w:rPr>
      </w:pPr>
    </w:p>
    <w:p w14:paraId="13B87DF3">
      <w:pPr>
        <w:ind w:firstLine="640"/>
        <w:rPr>
          <w:rFonts w:ascii="Times New Roman" w:hAnsi="Times New Roman" w:cs="Times New Roman"/>
          <w:color w:val="auto"/>
          <w:kern w:val="0"/>
          <w:szCs w:val="32"/>
        </w:rPr>
      </w:pPr>
    </w:p>
    <w:p w14:paraId="46E4AD81">
      <w:pPr>
        <w:ind w:firstLine="640"/>
        <w:rPr>
          <w:rFonts w:ascii="Times New Roman" w:hAnsi="Times New Roman" w:cs="Times New Roman"/>
          <w:color w:val="auto"/>
          <w:kern w:val="0"/>
          <w:szCs w:val="32"/>
        </w:rPr>
      </w:pPr>
    </w:p>
    <w:p w14:paraId="662841D3">
      <w:pPr>
        <w:ind w:firstLine="640"/>
        <w:rPr>
          <w:rFonts w:ascii="Times New Roman" w:hAnsi="Times New Roman" w:cs="Times New Roman"/>
          <w:color w:val="auto"/>
          <w:kern w:val="0"/>
          <w:szCs w:val="32"/>
        </w:rPr>
      </w:pPr>
    </w:p>
    <w:p w14:paraId="1027B76A">
      <w:pPr>
        <w:ind w:firstLine="640"/>
        <w:rPr>
          <w:rFonts w:ascii="Times New Roman" w:hAnsi="Times New Roman" w:cs="Times New Roman"/>
          <w:color w:val="auto"/>
          <w:kern w:val="0"/>
          <w:szCs w:val="32"/>
        </w:rPr>
      </w:pPr>
    </w:p>
    <w:p w14:paraId="61E30318">
      <w:pPr>
        <w:ind w:firstLine="640"/>
        <w:rPr>
          <w:rFonts w:ascii="Times New Roman" w:hAnsi="Times New Roman" w:cs="Times New Roman"/>
          <w:color w:val="auto"/>
          <w:kern w:val="0"/>
          <w:szCs w:val="32"/>
        </w:rPr>
      </w:pPr>
    </w:p>
    <w:p w14:paraId="0ADFD3F2">
      <w:pPr>
        <w:ind w:firstLine="640"/>
        <w:rPr>
          <w:rFonts w:ascii="Times New Roman" w:hAnsi="Times New Roman" w:cs="Times New Roman"/>
          <w:color w:val="auto"/>
          <w:kern w:val="0"/>
          <w:szCs w:val="32"/>
        </w:rPr>
      </w:pPr>
    </w:p>
    <w:p w14:paraId="58CA5217">
      <w:pPr>
        <w:ind w:firstLine="640"/>
        <w:rPr>
          <w:rFonts w:ascii="Times New Roman" w:hAnsi="Times New Roman" w:cs="Times New Roman"/>
          <w:color w:val="auto"/>
          <w:kern w:val="0"/>
          <w:szCs w:val="32"/>
        </w:rPr>
      </w:pPr>
    </w:p>
    <w:bookmarkEnd w:id="183"/>
    <w:bookmarkEnd w:id="184"/>
    <w:bookmarkEnd w:id="185"/>
    <w:tbl>
      <w:tblPr>
        <w:tblStyle w:val="32"/>
        <w:tblW w:w="85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8"/>
      </w:tblGrid>
      <w:tr w14:paraId="43F4A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8" w:type="dxa"/>
          </w:tcPr>
          <w:p w14:paraId="0840BB0E">
            <w:pPr>
              <w:ind w:firstLine="0" w:firstLineChars="0"/>
              <w:jc w:val="center"/>
              <w:rPr>
                <w:rFonts w:hint="eastAsia" w:ascii="宋体" w:hAnsi="宋体" w:eastAsia="宋体"/>
                <w:b/>
                <w:bCs/>
                <w:color w:val="auto"/>
                <w:kern w:val="0"/>
                <w:sz w:val="24"/>
                <w:szCs w:val="24"/>
              </w:rPr>
            </w:pPr>
            <w:bookmarkStart w:id="197" w:name="_Toc215605724"/>
            <w:bookmarkStart w:id="198" w:name="_Toc207629943"/>
            <w:r>
              <w:rPr>
                <w:rFonts w:hint="eastAsia" w:ascii="宋体" w:hAnsi="宋体" w:eastAsia="宋体"/>
                <w:b/>
                <w:bCs/>
                <w:color w:val="auto"/>
                <w:kern w:val="0"/>
                <w:sz w:val="24"/>
                <w:szCs w:val="24"/>
              </w:rPr>
              <w:t>专栏2：科技创新领域</w:t>
            </w:r>
          </w:p>
          <w:p w14:paraId="3654CEBF">
            <w:pPr>
              <w:ind w:firstLine="0" w:firstLineChars="0"/>
              <w:rPr>
                <w:rFonts w:hint="eastAsia" w:ascii="宋体" w:hAnsi="宋体" w:eastAsia="宋体"/>
                <w:color w:val="auto"/>
                <w:kern w:val="0"/>
                <w:sz w:val="24"/>
                <w:szCs w:val="24"/>
              </w:rPr>
            </w:pPr>
            <w:r>
              <w:rPr>
                <w:rFonts w:ascii="宋体" w:hAnsi="宋体" w:eastAsia="宋体"/>
                <w:b/>
                <w:bCs/>
                <w:color w:val="auto"/>
                <w:kern w:val="0"/>
                <w:sz w:val="24"/>
                <w:szCs w:val="24"/>
              </w:rPr>
              <w:t>1.</w:t>
            </w:r>
            <w:r>
              <w:rPr>
                <w:rFonts w:hint="eastAsia" w:ascii="宋体" w:hAnsi="宋体" w:eastAsia="宋体"/>
                <w:b/>
                <w:bCs/>
                <w:color w:val="auto"/>
                <w:kern w:val="0"/>
                <w:sz w:val="24"/>
                <w:szCs w:val="24"/>
              </w:rPr>
              <w:t>创新载体能级跃升：</w:t>
            </w:r>
            <w:r>
              <w:rPr>
                <w:rFonts w:hint="eastAsia" w:ascii="宋体" w:hAnsi="宋体" w:eastAsia="宋体"/>
                <w:color w:val="auto"/>
                <w:kern w:val="0"/>
                <w:sz w:val="24"/>
                <w:szCs w:val="24"/>
              </w:rPr>
              <w:t>聚焦主导产业构建高能级创新平台矩阵，谋划建设公共检测平台等创新服务载体。深化与京津石园区、高校院所合作，推动共建联合实验室等。</w:t>
            </w:r>
          </w:p>
          <w:p w14:paraId="6E8C33E0">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2.</w:t>
            </w:r>
            <w:r>
              <w:rPr>
                <w:rFonts w:hint="eastAsia" w:ascii="微软雅黑" w:hAnsi="Times New Roman" w:eastAsia="微软雅黑" w:cs="微软雅黑"/>
                <w:color w:val="auto"/>
                <w:kern w:val="0"/>
                <w:sz w:val="22"/>
                <w:lang w:val="zh-CN"/>
              </w:rPr>
              <w:t xml:space="preserve"> </w:t>
            </w:r>
            <w:r>
              <w:rPr>
                <w:rFonts w:hint="eastAsia" w:ascii="宋体" w:hAnsi="宋体" w:eastAsia="宋体"/>
                <w:b/>
                <w:bCs/>
                <w:color w:val="auto"/>
                <w:kern w:val="0"/>
                <w:sz w:val="24"/>
                <w:szCs w:val="24"/>
              </w:rPr>
              <w:t>西柏坡经济开发区配套提升：</w:t>
            </w:r>
            <w:r>
              <w:rPr>
                <w:rFonts w:hint="eastAsia" w:ascii="宋体" w:hAnsi="宋体" w:eastAsia="宋体"/>
                <w:color w:val="auto"/>
                <w:kern w:val="0"/>
                <w:sz w:val="24"/>
                <w:szCs w:val="24"/>
              </w:rPr>
              <w:t>实施园区地下管网提升及配套设施工程，改造天然气管网、供水管网、排雨管道、污水管网等；在园区新建地块预留相关基础设施接口，构建适配产业发展的硬件支撑体系。</w:t>
            </w:r>
          </w:p>
          <w:p w14:paraId="13AF04F3">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3</w:t>
            </w:r>
            <w:r>
              <w:rPr>
                <w:rFonts w:ascii="宋体" w:hAnsi="宋体" w:eastAsia="宋体"/>
                <w:b/>
                <w:bCs/>
                <w:color w:val="auto"/>
                <w:kern w:val="0"/>
                <w:sz w:val="24"/>
                <w:szCs w:val="24"/>
              </w:rPr>
              <w:t>.</w:t>
            </w:r>
            <w:r>
              <w:rPr>
                <w:rFonts w:hint="eastAsia" w:ascii="宋体" w:hAnsi="宋体" w:eastAsia="宋体"/>
                <w:b/>
                <w:bCs/>
                <w:color w:val="auto"/>
                <w:kern w:val="0"/>
                <w:sz w:val="24"/>
                <w:szCs w:val="24"/>
              </w:rPr>
              <w:t>创新主体梯度培育：</w:t>
            </w:r>
            <w:r>
              <w:rPr>
                <w:rFonts w:hint="eastAsia" w:ascii="宋体" w:hAnsi="宋体" w:eastAsia="宋体"/>
                <w:color w:val="auto"/>
                <w:kern w:val="0"/>
                <w:sz w:val="24"/>
                <w:szCs w:val="24"/>
              </w:rPr>
              <w:t>支持龙头企业组建创新联合体，攻关</w:t>
            </w:r>
            <w:r>
              <w:rPr>
                <w:rFonts w:ascii="宋体" w:hAnsi="宋体" w:eastAsia="宋体"/>
                <w:color w:val="auto"/>
                <w:kern w:val="0"/>
                <w:sz w:val="24"/>
                <w:szCs w:val="24"/>
              </w:rPr>
              <w:t>“</w:t>
            </w:r>
            <w:r>
              <w:rPr>
                <w:rFonts w:hint="eastAsia" w:ascii="宋体" w:hAnsi="宋体" w:eastAsia="宋体"/>
                <w:color w:val="auto"/>
                <w:kern w:val="0"/>
                <w:sz w:val="24"/>
                <w:szCs w:val="24"/>
              </w:rPr>
              <w:t>卡脖子</w:t>
            </w:r>
            <w:r>
              <w:rPr>
                <w:rFonts w:ascii="宋体" w:hAnsi="宋体" w:eastAsia="宋体"/>
                <w:color w:val="auto"/>
                <w:kern w:val="0"/>
                <w:sz w:val="24"/>
                <w:szCs w:val="24"/>
              </w:rPr>
              <w:t>”</w:t>
            </w:r>
            <w:r>
              <w:rPr>
                <w:rFonts w:hint="eastAsia" w:ascii="宋体" w:hAnsi="宋体" w:eastAsia="宋体"/>
                <w:color w:val="auto"/>
                <w:kern w:val="0"/>
                <w:sz w:val="24"/>
                <w:szCs w:val="24"/>
              </w:rPr>
              <w:t>技术并创建高能级创新平台。建立健全科技型企业全周期培育体系，提供精准政策辅导，推动搭建产学研对接平台，打通成果转化通道。</w:t>
            </w:r>
          </w:p>
          <w:p w14:paraId="3C5D9965">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4</w:t>
            </w:r>
            <w:r>
              <w:rPr>
                <w:rFonts w:ascii="宋体" w:hAnsi="宋体" w:eastAsia="宋体"/>
                <w:b/>
                <w:bCs/>
                <w:color w:val="auto"/>
                <w:kern w:val="0"/>
                <w:sz w:val="24"/>
                <w:szCs w:val="24"/>
              </w:rPr>
              <w:t>.</w:t>
            </w:r>
            <w:r>
              <w:rPr>
                <w:rFonts w:hint="eastAsia" w:ascii="宋体" w:hAnsi="宋体" w:eastAsia="宋体"/>
                <w:b/>
                <w:bCs/>
                <w:color w:val="auto"/>
                <w:kern w:val="0"/>
                <w:sz w:val="24"/>
                <w:szCs w:val="24"/>
              </w:rPr>
              <w:t>创新业态场景培育：</w:t>
            </w:r>
            <w:r>
              <w:rPr>
                <w:rFonts w:hint="eastAsia" w:ascii="宋体" w:hAnsi="宋体" w:eastAsia="宋体"/>
                <w:color w:val="auto"/>
                <w:kern w:val="0"/>
                <w:sz w:val="24"/>
                <w:szCs w:val="24"/>
              </w:rPr>
              <w:t>结合红色文旅、应急保障、绿色能源、城乡融合、现代农业等各类场景，培育创新业态。</w:t>
            </w:r>
          </w:p>
          <w:p w14:paraId="6DD29D97">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5</w:t>
            </w:r>
            <w:r>
              <w:rPr>
                <w:rFonts w:ascii="宋体" w:hAnsi="宋体" w:eastAsia="宋体"/>
                <w:b/>
                <w:bCs/>
                <w:color w:val="auto"/>
                <w:kern w:val="0"/>
                <w:sz w:val="24"/>
                <w:szCs w:val="24"/>
              </w:rPr>
              <w:t>.</w:t>
            </w:r>
            <w:r>
              <w:rPr>
                <w:rFonts w:hint="eastAsia" w:ascii="宋体" w:hAnsi="宋体" w:eastAsia="宋体"/>
                <w:b/>
                <w:bCs/>
                <w:color w:val="auto"/>
                <w:kern w:val="0"/>
                <w:sz w:val="24"/>
                <w:szCs w:val="24"/>
              </w:rPr>
              <w:t>创新人才集聚保障：</w:t>
            </w:r>
            <w:r>
              <w:rPr>
                <w:rFonts w:hint="eastAsia" w:ascii="宋体" w:hAnsi="宋体" w:eastAsia="宋体"/>
                <w:color w:val="auto"/>
                <w:kern w:val="0"/>
                <w:sz w:val="24"/>
                <w:szCs w:val="24"/>
              </w:rPr>
              <w:t>推行柔性引才模式，聘请技术专家解决企业难题；推动共建产学研实训，推行</w:t>
            </w:r>
            <w:r>
              <w:rPr>
                <w:rFonts w:ascii="宋体" w:hAnsi="宋体" w:eastAsia="宋体"/>
                <w:color w:val="auto"/>
                <w:kern w:val="0"/>
                <w:sz w:val="24"/>
                <w:szCs w:val="24"/>
              </w:rPr>
              <w:t>“</w:t>
            </w:r>
            <w:r>
              <w:rPr>
                <w:rFonts w:hint="eastAsia" w:ascii="宋体" w:hAnsi="宋体" w:eastAsia="宋体"/>
                <w:color w:val="auto"/>
                <w:kern w:val="0"/>
                <w:sz w:val="24"/>
                <w:szCs w:val="24"/>
              </w:rPr>
              <w:t>双导师制</w:t>
            </w:r>
            <w:r>
              <w:rPr>
                <w:rFonts w:ascii="宋体" w:hAnsi="宋体" w:eastAsia="宋体"/>
                <w:color w:val="auto"/>
                <w:kern w:val="0"/>
                <w:sz w:val="24"/>
                <w:szCs w:val="24"/>
              </w:rPr>
              <w:t>”</w:t>
            </w:r>
            <w:r>
              <w:rPr>
                <w:rFonts w:hint="eastAsia" w:ascii="宋体" w:hAnsi="宋体" w:eastAsia="宋体"/>
                <w:color w:val="auto"/>
                <w:kern w:val="0"/>
                <w:sz w:val="24"/>
                <w:szCs w:val="24"/>
              </w:rPr>
              <w:t>；推动实施</w:t>
            </w:r>
            <w:r>
              <w:rPr>
                <w:rFonts w:ascii="宋体" w:hAnsi="宋体" w:eastAsia="宋体"/>
                <w:color w:val="auto"/>
                <w:kern w:val="0"/>
                <w:sz w:val="24"/>
                <w:szCs w:val="24"/>
              </w:rPr>
              <w:t>“</w:t>
            </w:r>
            <w:r>
              <w:rPr>
                <w:rFonts w:hint="eastAsia" w:ascii="宋体" w:hAnsi="宋体" w:eastAsia="宋体"/>
                <w:color w:val="auto"/>
                <w:kern w:val="0"/>
                <w:sz w:val="24"/>
                <w:szCs w:val="24"/>
              </w:rPr>
              <w:t>平山工匠</w:t>
            </w:r>
            <w:r>
              <w:rPr>
                <w:rFonts w:ascii="宋体" w:hAnsi="宋体" w:eastAsia="宋体"/>
                <w:color w:val="auto"/>
                <w:kern w:val="0"/>
                <w:sz w:val="24"/>
                <w:szCs w:val="24"/>
              </w:rPr>
              <w:t>”</w:t>
            </w:r>
            <w:r>
              <w:rPr>
                <w:rFonts w:hint="eastAsia" w:ascii="宋体" w:hAnsi="宋体" w:eastAsia="宋体"/>
                <w:color w:val="auto"/>
                <w:kern w:val="0"/>
                <w:sz w:val="24"/>
                <w:szCs w:val="24"/>
              </w:rPr>
              <w:t>培育计划。</w:t>
            </w:r>
          </w:p>
        </w:tc>
      </w:tr>
    </w:tbl>
    <w:p w14:paraId="1C5AD121">
      <w:pPr>
        <w:widowControl/>
        <w:spacing w:line="240" w:lineRule="auto"/>
        <w:ind w:firstLine="0" w:firstLineChars="0"/>
        <w:jc w:val="left"/>
        <w:rPr>
          <w:rFonts w:hint="eastAsia" w:eastAsia="黑体"/>
          <w:b/>
          <w:bCs/>
          <w:color w:val="auto"/>
          <w:kern w:val="44"/>
          <w:szCs w:val="44"/>
        </w:rPr>
      </w:pPr>
      <w:r>
        <w:rPr>
          <w:rFonts w:hint="eastAsia"/>
          <w:color w:val="auto"/>
        </w:rPr>
        <w:br w:type="page"/>
      </w:r>
    </w:p>
    <w:p w14:paraId="6315A3C5">
      <w:pPr>
        <w:pStyle w:val="2"/>
        <w:pageBreakBefore w:val="0"/>
        <w:widowControl w:val="0"/>
        <w:kinsoku/>
        <w:wordWrap/>
        <w:overflowPunct/>
        <w:topLinePunct w:val="0"/>
        <w:autoSpaceDE/>
        <w:autoSpaceDN/>
        <w:bidi w:val="0"/>
        <w:adjustRightInd/>
        <w:snapToGrid/>
        <w:spacing w:line="580" w:lineRule="exact"/>
        <w:ind w:firstLine="643"/>
        <w:textAlignment w:val="auto"/>
        <w:rPr>
          <w:rFonts w:hint="eastAsia"/>
          <w:color w:val="auto"/>
        </w:rPr>
      </w:pPr>
      <w:bookmarkStart w:id="199" w:name="_Toc217984268"/>
      <w:bookmarkStart w:id="200" w:name="_Toc225513223"/>
      <w:bookmarkStart w:id="201" w:name="_Toc216989058"/>
      <w:bookmarkStart w:id="202" w:name="OLE_LINK16"/>
      <w:r>
        <w:rPr>
          <w:rFonts w:hint="eastAsia"/>
          <w:color w:val="auto"/>
        </w:rPr>
        <w:t>第四篇 红色文化赋能，推进旅游业高质量发展</w:t>
      </w:r>
      <w:bookmarkEnd w:id="197"/>
      <w:bookmarkEnd w:id="199"/>
      <w:bookmarkEnd w:id="200"/>
      <w:bookmarkEnd w:id="201"/>
    </w:p>
    <w:bookmarkEnd w:id="202"/>
    <w:p w14:paraId="5038B307">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color w:val="auto"/>
          <w:szCs w:val="32"/>
        </w:rPr>
        <w:t>落实党的二十届四中全会提出的“繁荣发展社会主义文化”战略部署，坚持“以文塑旅、以旅彰文”，通过“精神化育、价值塑造、业态融合、品牌传播”四大路径，将红色文化融入社会治理、产业发展、城乡建设和公民素养提升全过程，为各项事业注入强大精神动力。</w:t>
      </w:r>
    </w:p>
    <w:p w14:paraId="2A38F40D">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203" w:name="_Toc225513224"/>
      <w:bookmarkStart w:id="204" w:name="_Toc217984269"/>
      <w:bookmarkStart w:id="205" w:name="_Toc216989059"/>
      <w:r>
        <w:rPr>
          <w:rFonts w:hint="eastAsia" w:ascii="楷体_GB2312" w:hAnsi="楷体_GB2312" w:cs="楷体_GB2312"/>
          <w:color w:val="auto"/>
        </w:rPr>
        <w:t>第一章 发挥红色文化品牌作用，提升文化软实力</w:t>
      </w:r>
      <w:bookmarkEnd w:id="203"/>
      <w:bookmarkEnd w:id="204"/>
      <w:bookmarkEnd w:id="205"/>
    </w:p>
    <w:p w14:paraId="65F76EC3">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color w:val="auto"/>
          <w:szCs w:val="32"/>
        </w:rPr>
        <w:t>坚持以红色文化为引领，联动历史文化、非遗文化等多元文化形态，激活文化内核、创新传播路径、深化传承融入，全方位提升文化软实力，筑牢平山精神根基。</w:t>
      </w:r>
    </w:p>
    <w:p w14:paraId="60611916">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06" w:name="_Toc216989060"/>
      <w:bookmarkStart w:id="207" w:name="_Toc217984270"/>
      <w:bookmarkStart w:id="208" w:name="_Toc225513225"/>
      <w:r>
        <w:rPr>
          <w:rFonts w:hint="eastAsia"/>
          <w:color w:val="auto"/>
        </w:rPr>
        <w:t>一、激活文化内核，构建红色引领的多元文化谱系</w:t>
      </w:r>
      <w:bookmarkEnd w:id="206"/>
      <w:bookmarkEnd w:id="207"/>
      <w:bookmarkEnd w:id="208"/>
    </w:p>
    <w:p w14:paraId="080C5090">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大力传承弘扬以“两个务必”为核心的西柏坡精神，以及“赶考”精神、团结精神，建立红色文化资源数据库，加强中共中央旧址、中央部委旧址群等红色遗址保护利用，持续打造“平山红”精神文明建设品牌，常态化开展“平山红”大合唱、“平山红”直播、“平山红”文艺小分队等系列活动，让红色旋律广泛传唱。深入挖掘中山国文化内涵与时代价值，系统整理平山渔家乐、北冶抬皇杠等非遗文化资源，为文旅融合发展提供丰厚的文化素材与价值支撑，构建“红色铸魂、古色添韵、民俗增彩”的多元文化谱系。</w:t>
      </w:r>
    </w:p>
    <w:p w14:paraId="5B7B698B">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09" w:name="_Toc216989061"/>
      <w:bookmarkStart w:id="210" w:name="_Toc225513226"/>
      <w:bookmarkStart w:id="211" w:name="_Toc217984271"/>
      <w:r>
        <w:rPr>
          <w:rFonts w:hint="eastAsia"/>
          <w:color w:val="auto"/>
        </w:rPr>
        <w:t>二、创新宣传矩阵，拓展立体覆盖的传播辐射网络</w:t>
      </w:r>
      <w:bookmarkEnd w:id="209"/>
      <w:bookmarkEnd w:id="210"/>
      <w:bookmarkEnd w:id="211"/>
    </w:p>
    <w:p w14:paraId="288CF368">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color w:val="auto"/>
          <w:szCs w:val="32"/>
        </w:rPr>
        <w:t>加强与上级媒体合作，策划推出《永远的西柏坡》文献纪录片等精品力作，讲好平山红色故事与历史文脉故事。在网络平台开设“西柏坡精神”“平山文旅”等官方账号，开发红色知识问答、AI革命场景还原、非遗技艺展示等互动内容，培育壮大“平山文旅推荐官”队伍，打造网红打卡地与传播热点。深入开展“弘扬赶考精神、争当时代先锋”主题实践活动，将红色基因传承纳入文明单位、文明家庭、文明校园创建评价体系，实施文化惠民工程，构建“传统媒体+新媒体+线下场景”全方位传播网络，提升平山文化的影响力与感召力。</w:t>
      </w:r>
    </w:p>
    <w:p w14:paraId="4262A490">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12" w:name="_Toc216989062"/>
      <w:bookmarkStart w:id="213" w:name="_Toc225513227"/>
      <w:bookmarkStart w:id="214" w:name="_Toc217984272"/>
      <w:r>
        <w:rPr>
          <w:rFonts w:hint="eastAsia"/>
          <w:color w:val="auto"/>
        </w:rPr>
        <w:t>三、深化传承融入，推动文化价值转化落地</w:t>
      </w:r>
      <w:bookmarkEnd w:id="212"/>
      <w:bookmarkEnd w:id="213"/>
      <w:bookmarkEnd w:id="214"/>
    </w:p>
    <w:p w14:paraId="5D50029A">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color w:val="auto"/>
          <w:szCs w:val="32"/>
        </w:rPr>
        <w:t>推动红色文化及多元文化内涵融入多领域实践应用，着力构建“红色+国防”教育体系，依托西柏坡、北庄、平山县革命历史纪念馆等红色遗址和场馆开展红色研学、军事体验等活动，加强烈士纪念设施保护管理利用，创新双拥传统与英烈精神传承模式，增强全民爱国与国防意识。构建“红色+廉政”教育体系，以“两个务必”精神推进清廉平山建设，深化群众身边不正之风和腐败问题集中整治，维护风清气正的政治生态。构建“红色+社会治理”工作体系，将红色精神融入基层队伍建设，推广“党群议事厅”协商模式，组建“平山红”志愿服务队伍，开展多领域志愿活动，把文化软实力转化为治理效能。</w:t>
      </w:r>
    </w:p>
    <w:p w14:paraId="6180A310">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215" w:name="_Toc217984273"/>
      <w:bookmarkStart w:id="216" w:name="_Toc225513228"/>
      <w:bookmarkStart w:id="217" w:name="_Toc216989063"/>
      <w:r>
        <w:rPr>
          <w:rFonts w:hint="eastAsia" w:ascii="楷体_GB2312" w:hAnsi="楷体_GB2312" w:cs="楷体_GB2312"/>
          <w:color w:val="auto"/>
        </w:rPr>
        <w:t>第二章 推动文旅深度融合，拓展全域旅游格局</w:t>
      </w:r>
      <w:bookmarkEnd w:id="215"/>
      <w:bookmarkEnd w:id="216"/>
      <w:bookmarkEnd w:id="217"/>
    </w:p>
    <w:p w14:paraId="1EFC83D7">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color w:val="auto"/>
          <w:szCs w:val="32"/>
        </w:rPr>
        <w:t>以红色旅游为龙头，整合生态、历史、民俗、温泉等各类资源，推动文化资源向旅游产品转化、文化价值向经济价值跃升，培育形成“核心引领、多点支撑、全域覆盖”的旅游发展态势。</w:t>
      </w:r>
    </w:p>
    <w:p w14:paraId="585A9F94">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18" w:name="_Toc217984274"/>
      <w:bookmarkStart w:id="219" w:name="_Toc216989064"/>
      <w:bookmarkStart w:id="220" w:name="_Toc225513229"/>
      <w:r>
        <w:rPr>
          <w:rFonts w:hint="eastAsia"/>
          <w:color w:val="auto"/>
        </w:rPr>
        <w:t>一、提升红色文化旅游</w:t>
      </w:r>
      <w:bookmarkEnd w:id="218"/>
      <w:bookmarkEnd w:id="219"/>
      <w:r>
        <w:rPr>
          <w:rFonts w:hint="eastAsia"/>
          <w:color w:val="auto"/>
        </w:rPr>
        <w:t>品质</w:t>
      </w:r>
      <w:bookmarkEnd w:id="220"/>
    </w:p>
    <w:p w14:paraId="27A8CDC1">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color w:val="auto"/>
          <w:szCs w:val="32"/>
        </w:rPr>
        <w:t>以“西柏坡精神”为核心，谋划建设西柏坡红色数字文创产业园，开发红色主题数字藏品、AR红色故事书等文创产品，推动红色文化数字化传播与消费；深化“重走赶考路”研学线路建设，串联中共中央旧址、北庄村、李家庄村等红色资源，开发“决策中国命运的179天”情景模拟、红色剧本杀等沉浸式体验项目，推动红色旅游从“观光打卡”向“沉浸式体验”升级；提升《梦回西柏坡》《团结就是力量》等红色剧目品质，推动其常态化驻场演出，打造“平山红”文化演艺品牌。</w:t>
      </w:r>
    </w:p>
    <w:p w14:paraId="11EA288D">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21" w:name="_Toc225513230"/>
      <w:bookmarkStart w:id="222" w:name="_Toc217984275"/>
      <w:bookmarkStart w:id="223" w:name="_Toc216989065"/>
      <w:r>
        <w:rPr>
          <w:rFonts w:hint="eastAsia"/>
          <w:color w:val="auto"/>
        </w:rPr>
        <w:t>二、打造多元旅游产品体系</w:t>
      </w:r>
      <w:bookmarkEnd w:id="221"/>
      <w:bookmarkEnd w:id="222"/>
      <w:bookmarkEnd w:id="223"/>
    </w:p>
    <w:p w14:paraId="5F226EFB">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b/>
          <w:bCs/>
          <w:color w:val="auto"/>
          <w:szCs w:val="32"/>
        </w:rPr>
        <w:t>做精历史文化与非遗体验产品。</w:t>
      </w:r>
      <w:r>
        <w:rPr>
          <w:rFonts w:hint="eastAsia" w:ascii="仿宋_GB2312" w:hAnsi="Times New Roman"/>
          <w:color w:val="auto"/>
          <w:szCs w:val="32"/>
        </w:rPr>
        <w:t>加快建设中山古城国家考古遗址公园，复原战国时期宫殿建筑与手工业作坊场景，谋划古文化研学、传统工艺制作等深度互动项目，打造高沉浸度的战国文化体验区；开展非遗展演，定期举办非遗文化节，将平山大秧歌、中山战鼓等特色节目与旅游节庆、日常游览深度融合，增强游客吸引力；开发非遗手工体验、主题民宿等可体验、可消费的旅游产品，让游客游有所得。</w:t>
      </w:r>
    </w:p>
    <w:p w14:paraId="47087125">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b/>
          <w:bCs/>
          <w:color w:val="auto"/>
          <w:szCs w:val="32"/>
        </w:rPr>
        <w:t>做优绿色生态与温泉康养产品。</w:t>
      </w:r>
      <w:r>
        <w:rPr>
          <w:rFonts w:hint="eastAsia" w:ascii="仿宋_GB2312" w:hAnsi="Times New Roman"/>
          <w:color w:val="auto"/>
          <w:szCs w:val="32"/>
        </w:rPr>
        <w:t>依托驼梁、天桂山等山水生态景区优势，发展森林康养、避暑度假、山地运动等旅游业态，完善登山步道、观景平台、自然研学路径等配套设施，新打造一批A级景区。依托温塘温泉资源，挖掘当地“桃花浴”温泉文化，发展温泉疗养、美容养生、休闲度假等复合型康养产品，推动温泉康养中心投入运营，发挥应有效用。</w:t>
      </w:r>
    </w:p>
    <w:p w14:paraId="29E969BE">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24" w:name="_Toc216989066"/>
      <w:bookmarkStart w:id="225" w:name="_Toc217984276"/>
      <w:bookmarkStart w:id="226" w:name="_Toc225513231"/>
      <w:r>
        <w:rPr>
          <w:rFonts w:hint="eastAsia"/>
          <w:color w:val="auto"/>
        </w:rPr>
        <w:t>三、培育“旅游+”发展新业态</w:t>
      </w:r>
      <w:bookmarkEnd w:id="224"/>
      <w:bookmarkEnd w:id="225"/>
      <w:bookmarkEnd w:id="226"/>
    </w:p>
    <w:p w14:paraId="7A8A5491">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color w:val="auto"/>
          <w:szCs w:val="32"/>
        </w:rPr>
        <w:t>密切联系乡村振兴，深化农文旅融合，以山地苹果、道地中药材等特色农业为基础，开发采摘体验、药膳康养等项目，推动农文旅与“药旅融合”发展；依托滹沱河沿岸打造乡村农业观光带，因地制宜培育高端精品民宿集群，</w:t>
      </w:r>
      <w:r>
        <w:rPr>
          <w:rFonts w:ascii="仿宋_GB2312" w:hAnsi="Times New Roman"/>
          <w:color w:val="auto"/>
          <w:szCs w:val="32"/>
        </w:rPr>
        <w:t xml:space="preserve"> </w:t>
      </w:r>
      <w:r>
        <w:rPr>
          <w:rFonts w:hint="eastAsia" w:ascii="仿宋_GB2312" w:hAnsi="Times New Roman"/>
          <w:color w:val="auto"/>
          <w:szCs w:val="32"/>
        </w:rPr>
        <w:t>打造“农业+观光+体验+康养”融合业态。培育旅游咨询企业，带动旅游相关产业增收。</w:t>
      </w:r>
    </w:p>
    <w:p w14:paraId="27DB47DF">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27" w:name="_Toc225513232"/>
      <w:bookmarkStart w:id="228" w:name="_Toc217984277"/>
      <w:bookmarkStart w:id="229" w:name="_Toc216989067"/>
      <w:r>
        <w:rPr>
          <w:rFonts w:hint="eastAsia"/>
          <w:color w:val="auto"/>
        </w:rPr>
        <w:t>第三章 强化旅游服务保障，提升整体发展质量</w:t>
      </w:r>
      <w:bookmarkEnd w:id="227"/>
      <w:bookmarkEnd w:id="228"/>
      <w:bookmarkEnd w:id="229"/>
    </w:p>
    <w:p w14:paraId="2260FFF8">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color w:val="auto"/>
          <w:szCs w:val="32"/>
        </w:rPr>
        <w:t>以完善基础设施、强化品牌传播、健全保障机制为重点，全面提升旅游服务能级与发展质量，为全域旅游发展提供坚实支撑。</w:t>
      </w:r>
    </w:p>
    <w:p w14:paraId="7E488B48">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30" w:name="_Toc216989068"/>
      <w:bookmarkStart w:id="231" w:name="_Toc225513233"/>
      <w:bookmarkStart w:id="232" w:name="_Toc217984278"/>
      <w:r>
        <w:rPr>
          <w:rFonts w:hint="eastAsia"/>
          <w:color w:val="auto"/>
        </w:rPr>
        <w:t>一、构建全域旅游交通网络</w:t>
      </w:r>
      <w:bookmarkEnd w:id="230"/>
      <w:bookmarkEnd w:id="231"/>
      <w:bookmarkEnd w:id="232"/>
    </w:p>
    <w:p w14:paraId="40144038">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color w:val="auto"/>
          <w:szCs w:val="32"/>
        </w:rPr>
        <w:t>以平山1号旅游公路串联红色文化、生态山水、历史古迹、温泉康养等核心资源，优化全域旅游空间布局。设计“红色研学+绿色生态”、“历史文化+温泉康养”等复合型旅游线路，满足不同客群需求。在旅游公路沿线布局旅游驿站、观景平台和自驾营地，配套建设房车补给站、电动汽车充电桩等设施，完善游客服务功能。开通县城至主要景区的旅游专线，优化京津冀至平山的旅游直通车线路，提升旅游可达性，打造便捷高效的旅游交通网络。</w:t>
      </w:r>
    </w:p>
    <w:p w14:paraId="63F06FF2">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33" w:name="_Toc217984279"/>
      <w:bookmarkStart w:id="234" w:name="_Toc225513234"/>
      <w:bookmarkStart w:id="235" w:name="_Toc216989069"/>
      <w:r>
        <w:rPr>
          <w:rFonts w:hint="eastAsia"/>
          <w:color w:val="auto"/>
        </w:rPr>
        <w:t>二、提升文旅品牌传播效能</w:t>
      </w:r>
      <w:bookmarkEnd w:id="233"/>
      <w:bookmarkEnd w:id="234"/>
      <w:bookmarkEnd w:id="235"/>
    </w:p>
    <w:p w14:paraId="1A037B52">
      <w:pPr>
        <w:pageBreakBefore w:val="0"/>
        <w:widowControl w:val="0"/>
        <w:kinsoku/>
        <w:wordWrap/>
        <w:overflowPunct/>
        <w:topLinePunct w:val="0"/>
        <w:autoSpaceDE/>
        <w:autoSpaceDN/>
        <w:bidi w:val="0"/>
        <w:adjustRightInd/>
        <w:snapToGrid/>
        <w:spacing w:line="580" w:lineRule="exact"/>
        <w:ind w:firstLine="640"/>
        <w:textAlignment w:val="auto"/>
        <w:rPr>
          <w:rFonts w:ascii="仿宋_GB2312" w:hAnsi="Times New Roman"/>
          <w:color w:val="auto"/>
          <w:szCs w:val="32"/>
        </w:rPr>
      </w:pPr>
      <w:r>
        <w:rPr>
          <w:rFonts w:hint="eastAsia" w:ascii="仿宋_GB2312" w:hAnsi="Times New Roman"/>
          <w:color w:val="auto"/>
          <w:szCs w:val="32"/>
        </w:rPr>
        <w:t>围绕深耕京津冀核心客源市场，整合中央及省、市、县媒体资源，持续策划推出高品质宣传内容。做好线上官方账号运营，发挥“文旅推荐官”队伍作用，打造网红打卡地。联合周边县区打造跨区域文旅融合线路，加大平山喜乐年、冰瀑文化旅游节、摩友环库骑游大会等特色活动宣传力度，</w:t>
      </w:r>
      <w:bookmarkStart w:id="236" w:name="_Toc216989070"/>
      <w:bookmarkStart w:id="237" w:name="_Toc217984280"/>
      <w:r>
        <w:rPr>
          <w:rFonts w:hint="eastAsia" w:ascii="仿宋_GB2312" w:hAnsi="Times New Roman"/>
          <w:color w:val="auto"/>
          <w:szCs w:val="32"/>
        </w:rPr>
        <w:t>持续擦亮“古都中山国・圣地西柏坡”“平山别样红”“金山银山、看看平山”等文旅品牌。</w:t>
      </w:r>
    </w:p>
    <w:p w14:paraId="129EBB8E">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38" w:name="_Toc225513235"/>
      <w:r>
        <w:rPr>
          <w:rFonts w:hint="eastAsia"/>
          <w:color w:val="auto"/>
        </w:rPr>
        <w:t>三、健全政策支持与服务监管机制</w:t>
      </w:r>
      <w:bookmarkEnd w:id="236"/>
      <w:bookmarkEnd w:id="237"/>
      <w:bookmarkEnd w:id="238"/>
    </w:p>
    <w:p w14:paraId="6E8DE3F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Times New Roman"/>
          <w:color w:val="auto"/>
          <w:szCs w:val="32"/>
        </w:rPr>
      </w:pPr>
      <w:r>
        <w:rPr>
          <w:rFonts w:hint="eastAsia" w:ascii="仿宋_GB2312" w:hAnsi="Times New Roman"/>
          <w:color w:val="auto"/>
          <w:szCs w:val="32"/>
        </w:rPr>
        <w:t>落实旅游产业相关支持政策，重点支持旅游基础设施建设，推动文旅产品创新升级和旅游品牌宣传推广，保障旅游项目合理用地需求。加强旅游人才队伍建设，开展从业人员培训，培育星级导游、民宿管家等专业人才，引进旅游策划、运营管理等高端人才。实施旅游服务质量提升行动，完善旅游市场综合监管机制，畅通游客投诉渠道，及时回应诉求，维护平山文旅品牌形象。</w:t>
      </w:r>
    </w:p>
    <w:tbl>
      <w:tblPr>
        <w:tblStyle w:val="32"/>
        <w:tblW w:w="84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84"/>
      </w:tblGrid>
      <w:tr w14:paraId="353EC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84" w:type="dxa"/>
          </w:tcPr>
          <w:p w14:paraId="547063F5">
            <w:pPr>
              <w:ind w:firstLine="0" w:firstLineChars="0"/>
              <w:jc w:val="center"/>
              <w:rPr>
                <w:rFonts w:hint="eastAsia" w:ascii="宋体" w:hAnsi="宋体" w:eastAsia="宋体"/>
                <w:b/>
                <w:bCs/>
                <w:color w:val="auto"/>
                <w:kern w:val="0"/>
                <w:sz w:val="24"/>
                <w:szCs w:val="24"/>
              </w:rPr>
            </w:pPr>
            <w:r>
              <w:rPr>
                <w:rFonts w:hint="eastAsia" w:ascii="宋体" w:hAnsi="宋体" w:eastAsia="宋体"/>
                <w:b/>
                <w:bCs/>
                <w:color w:val="auto"/>
                <w:kern w:val="0"/>
                <w:sz w:val="24"/>
                <w:szCs w:val="24"/>
              </w:rPr>
              <w:t>专栏3：文化旅游领域</w:t>
            </w:r>
          </w:p>
          <w:p w14:paraId="76B7A25D">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1.红色资源保护：</w:t>
            </w:r>
            <w:r>
              <w:rPr>
                <w:rFonts w:hint="eastAsia" w:ascii="宋体" w:hAnsi="宋体" w:eastAsia="宋体"/>
                <w:color w:val="auto"/>
                <w:kern w:val="0"/>
                <w:sz w:val="24"/>
                <w:szCs w:val="24"/>
              </w:rPr>
              <w:t>对中共中央旧址、中央部委旧址群实施保护性修缮，完善安防、消防、防雷等设施建设，配套游客服务设施。</w:t>
            </w:r>
          </w:p>
          <w:p w14:paraId="7DDCCD5B">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2.全域旅游提质：</w:t>
            </w:r>
            <w:r>
              <w:rPr>
                <w:rFonts w:hint="eastAsia" w:ascii="宋体" w:hAnsi="宋体" w:eastAsia="宋体"/>
                <w:color w:val="auto"/>
                <w:kern w:val="0"/>
                <w:sz w:val="24"/>
                <w:szCs w:val="24"/>
              </w:rPr>
              <w:t>推动驼梁和天桂山生态旅游设施升级，打造森林康养、山地运动等业态；推进中山国古城考古遗址公园建设，开发古文化研学与传统工艺体验等项目；开发温泉资源与康养度假融合项目。优化全域旅游交通网络，以平山1号旅游公路串联核心资源，布局旅游驿站、自驾营地与充电桩等配套设施。</w:t>
            </w:r>
          </w:p>
          <w:p w14:paraId="1ABF1AC4">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3.</w:t>
            </w:r>
            <w:r>
              <w:rPr>
                <w:rFonts w:ascii="宋体" w:hAnsi="宋体" w:eastAsia="宋体"/>
                <w:b/>
                <w:bCs/>
                <w:color w:val="auto"/>
                <w:kern w:val="0"/>
                <w:sz w:val="24"/>
                <w:szCs w:val="24"/>
              </w:rPr>
              <w:t>“</w:t>
            </w:r>
            <w:r>
              <w:rPr>
                <w:rFonts w:hint="eastAsia" w:ascii="宋体" w:hAnsi="宋体" w:eastAsia="宋体"/>
                <w:b/>
                <w:bCs/>
                <w:color w:val="auto"/>
                <w:kern w:val="0"/>
                <w:sz w:val="24"/>
                <w:szCs w:val="24"/>
              </w:rPr>
              <w:t>旅游+</w:t>
            </w:r>
            <w:r>
              <w:rPr>
                <w:rFonts w:ascii="宋体" w:hAnsi="宋体" w:eastAsia="宋体"/>
                <w:b/>
                <w:bCs/>
                <w:color w:val="auto"/>
                <w:kern w:val="0"/>
                <w:sz w:val="24"/>
                <w:szCs w:val="24"/>
              </w:rPr>
              <w:t>”</w:t>
            </w:r>
            <w:r>
              <w:rPr>
                <w:rFonts w:hint="eastAsia" w:ascii="宋体" w:hAnsi="宋体" w:eastAsia="宋体"/>
                <w:b/>
                <w:bCs/>
                <w:color w:val="auto"/>
                <w:kern w:val="0"/>
                <w:sz w:val="24"/>
                <w:szCs w:val="24"/>
              </w:rPr>
              <w:t>业态融合：</w:t>
            </w:r>
            <w:r>
              <w:rPr>
                <w:rFonts w:hint="eastAsia" w:ascii="宋体" w:hAnsi="宋体" w:eastAsia="宋体"/>
                <w:color w:val="auto"/>
                <w:kern w:val="0"/>
                <w:sz w:val="24"/>
                <w:szCs w:val="24"/>
              </w:rPr>
              <w:t>推动特色农业观光、</w:t>
            </w:r>
            <w:r>
              <w:rPr>
                <w:rFonts w:ascii="宋体" w:hAnsi="宋体" w:eastAsia="宋体"/>
                <w:color w:val="auto"/>
                <w:kern w:val="0"/>
                <w:sz w:val="24"/>
                <w:szCs w:val="24"/>
              </w:rPr>
              <w:t>“</w:t>
            </w:r>
            <w:r>
              <w:rPr>
                <w:rFonts w:hint="eastAsia" w:ascii="宋体" w:hAnsi="宋体" w:eastAsia="宋体"/>
                <w:color w:val="auto"/>
                <w:kern w:val="0"/>
                <w:sz w:val="24"/>
                <w:szCs w:val="24"/>
              </w:rPr>
              <w:t>农旅融合</w:t>
            </w:r>
            <w:r>
              <w:rPr>
                <w:rFonts w:ascii="宋体" w:hAnsi="宋体" w:eastAsia="宋体"/>
                <w:color w:val="auto"/>
                <w:kern w:val="0"/>
                <w:sz w:val="24"/>
                <w:szCs w:val="24"/>
              </w:rPr>
              <w:t>”</w:t>
            </w:r>
            <w:r>
              <w:rPr>
                <w:rFonts w:hint="eastAsia" w:ascii="宋体" w:hAnsi="宋体" w:eastAsia="宋体"/>
                <w:color w:val="auto"/>
                <w:kern w:val="0"/>
                <w:sz w:val="24"/>
                <w:szCs w:val="24"/>
              </w:rPr>
              <w:t>等业态，培育高端民宿集群。</w:t>
            </w:r>
          </w:p>
          <w:p w14:paraId="30728AAD">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4.文旅品牌传播与服务：</w:t>
            </w:r>
            <w:r>
              <w:rPr>
                <w:rFonts w:hint="eastAsia" w:ascii="宋体" w:hAnsi="宋体" w:eastAsia="宋体"/>
                <w:color w:val="auto"/>
                <w:kern w:val="0"/>
                <w:sz w:val="24"/>
                <w:szCs w:val="24"/>
              </w:rPr>
              <w:t>谋划实施</w:t>
            </w:r>
            <w:r>
              <w:rPr>
                <w:rFonts w:ascii="宋体" w:hAnsi="宋体" w:eastAsia="宋体"/>
                <w:color w:val="auto"/>
                <w:kern w:val="0"/>
                <w:sz w:val="24"/>
                <w:szCs w:val="24"/>
              </w:rPr>
              <w:t>“</w:t>
            </w:r>
            <w:r>
              <w:rPr>
                <w:rFonts w:hint="eastAsia" w:ascii="宋体" w:hAnsi="宋体" w:eastAsia="宋体"/>
                <w:color w:val="auto"/>
                <w:kern w:val="0"/>
                <w:sz w:val="24"/>
                <w:szCs w:val="24"/>
              </w:rPr>
              <w:t>古都中山国</w:t>
            </w:r>
            <w:r>
              <w:rPr>
                <w:rFonts w:hint="eastAsia" w:ascii="微软雅黑" w:hAnsi="微软雅黑" w:eastAsia="微软雅黑" w:cs="微软雅黑"/>
                <w:color w:val="auto"/>
                <w:kern w:val="0"/>
                <w:sz w:val="24"/>
                <w:szCs w:val="24"/>
              </w:rPr>
              <w:t>・</w:t>
            </w:r>
            <w:r>
              <w:rPr>
                <w:rFonts w:hint="eastAsia" w:ascii="宋体" w:hAnsi="宋体" w:eastAsia="宋体" w:cs="宋体"/>
                <w:color w:val="auto"/>
                <w:kern w:val="0"/>
                <w:sz w:val="24"/>
                <w:szCs w:val="24"/>
              </w:rPr>
              <w:t>圣地西柏坡</w:t>
            </w:r>
            <w:r>
              <w:rPr>
                <w:rFonts w:ascii="宋体" w:hAnsi="宋体" w:eastAsia="宋体"/>
                <w:color w:val="auto"/>
                <w:kern w:val="0"/>
                <w:sz w:val="24"/>
                <w:szCs w:val="24"/>
              </w:rPr>
              <w:t>”</w:t>
            </w:r>
            <w:r>
              <w:rPr>
                <w:rFonts w:hint="eastAsia" w:ascii="宋体" w:hAnsi="宋体" w:eastAsia="宋体"/>
                <w:color w:val="auto"/>
                <w:kern w:val="0"/>
                <w:sz w:val="24"/>
                <w:szCs w:val="24"/>
              </w:rPr>
              <w:t>品牌提升工程，常态化举办特色节庆活动，培育</w:t>
            </w:r>
            <w:r>
              <w:rPr>
                <w:rFonts w:ascii="宋体" w:hAnsi="宋体" w:eastAsia="宋体"/>
                <w:color w:val="auto"/>
                <w:kern w:val="0"/>
                <w:sz w:val="24"/>
                <w:szCs w:val="24"/>
              </w:rPr>
              <w:t>“</w:t>
            </w:r>
            <w:r>
              <w:rPr>
                <w:rFonts w:hint="eastAsia" w:ascii="宋体" w:hAnsi="宋体" w:eastAsia="宋体"/>
                <w:color w:val="auto"/>
                <w:kern w:val="0"/>
                <w:sz w:val="24"/>
                <w:szCs w:val="24"/>
              </w:rPr>
              <w:t>平山文旅推荐官</w:t>
            </w:r>
            <w:r>
              <w:rPr>
                <w:rFonts w:ascii="宋体" w:hAnsi="宋体" w:eastAsia="宋体"/>
                <w:color w:val="auto"/>
                <w:kern w:val="0"/>
                <w:sz w:val="24"/>
                <w:szCs w:val="24"/>
              </w:rPr>
              <w:t>”</w:t>
            </w:r>
            <w:r>
              <w:rPr>
                <w:rFonts w:hint="eastAsia" w:ascii="宋体" w:hAnsi="宋体" w:eastAsia="宋体"/>
                <w:color w:val="auto"/>
                <w:kern w:val="0"/>
                <w:sz w:val="24"/>
                <w:szCs w:val="24"/>
              </w:rPr>
              <w:t>队伍，组建</w:t>
            </w:r>
            <w:r>
              <w:rPr>
                <w:rFonts w:ascii="宋体" w:hAnsi="宋体" w:eastAsia="宋体"/>
                <w:color w:val="auto"/>
                <w:kern w:val="0"/>
                <w:sz w:val="24"/>
                <w:szCs w:val="24"/>
              </w:rPr>
              <w:t>“</w:t>
            </w:r>
            <w:r>
              <w:rPr>
                <w:rFonts w:hint="eastAsia" w:ascii="宋体" w:hAnsi="宋体" w:eastAsia="宋体"/>
                <w:color w:val="auto"/>
                <w:kern w:val="0"/>
                <w:sz w:val="24"/>
                <w:szCs w:val="24"/>
              </w:rPr>
              <w:t>平山红</w:t>
            </w:r>
            <w:r>
              <w:rPr>
                <w:rFonts w:ascii="宋体" w:hAnsi="宋体" w:eastAsia="宋体"/>
                <w:color w:val="auto"/>
                <w:kern w:val="0"/>
                <w:sz w:val="24"/>
                <w:szCs w:val="24"/>
              </w:rPr>
              <w:t>”</w:t>
            </w:r>
            <w:r>
              <w:rPr>
                <w:rFonts w:hint="eastAsia" w:ascii="宋体" w:hAnsi="宋体" w:eastAsia="宋体"/>
                <w:color w:val="auto"/>
                <w:kern w:val="0"/>
                <w:sz w:val="24"/>
                <w:szCs w:val="24"/>
              </w:rPr>
              <w:t>志愿服务队伍。</w:t>
            </w:r>
          </w:p>
        </w:tc>
      </w:tr>
      <w:bookmarkEnd w:id="57"/>
      <w:bookmarkEnd w:id="62"/>
      <w:bookmarkEnd w:id="198"/>
    </w:tbl>
    <w:p w14:paraId="16939C74">
      <w:pPr>
        <w:pStyle w:val="2"/>
        <w:keepNext/>
        <w:keepLines/>
        <w:pageBreakBefore w:val="0"/>
        <w:widowControl w:val="0"/>
        <w:kinsoku/>
        <w:wordWrap/>
        <w:overflowPunct/>
        <w:topLinePunct w:val="0"/>
        <w:autoSpaceDE/>
        <w:autoSpaceDN/>
        <w:bidi w:val="0"/>
        <w:adjustRightInd/>
        <w:snapToGrid/>
        <w:spacing w:before="0" w:line="579" w:lineRule="auto"/>
        <w:ind w:firstLine="643"/>
        <w:textAlignment w:val="auto"/>
        <w:rPr>
          <w:rFonts w:hint="eastAsia"/>
          <w:color w:val="auto"/>
        </w:rPr>
      </w:pPr>
      <w:bookmarkStart w:id="239" w:name="_Toc216989123"/>
      <w:bookmarkStart w:id="240" w:name="_Toc225513236"/>
      <w:bookmarkStart w:id="241" w:name="_Toc217984281"/>
      <w:bookmarkStart w:id="242" w:name="_Toc216989071"/>
      <w:bookmarkStart w:id="243" w:name="_Toc207630004"/>
      <w:bookmarkStart w:id="244" w:name="_Toc211252030"/>
      <w:bookmarkStart w:id="245" w:name="_Toc207629978"/>
      <w:bookmarkStart w:id="246" w:name="_Toc211251993"/>
    </w:p>
    <w:p w14:paraId="3EFA309C">
      <w:pPr>
        <w:rPr>
          <w:rFonts w:hint="eastAsia"/>
          <w:color w:val="auto"/>
        </w:rPr>
      </w:pPr>
    </w:p>
    <w:p w14:paraId="2D31D21C">
      <w:pPr>
        <w:rPr>
          <w:rFonts w:hint="eastAsia"/>
          <w:color w:val="auto"/>
        </w:rPr>
      </w:pPr>
    </w:p>
    <w:p w14:paraId="4EB33E20">
      <w:pPr>
        <w:rPr>
          <w:rFonts w:hint="eastAsia"/>
          <w:color w:val="auto"/>
        </w:rPr>
      </w:pPr>
    </w:p>
    <w:p w14:paraId="0F72B394">
      <w:pPr>
        <w:rPr>
          <w:rFonts w:hint="eastAsia"/>
          <w:color w:val="auto"/>
        </w:rPr>
      </w:pPr>
    </w:p>
    <w:p w14:paraId="56C2AFB1">
      <w:pPr>
        <w:rPr>
          <w:rFonts w:hint="eastAsia"/>
          <w:color w:val="auto"/>
        </w:rPr>
      </w:pPr>
    </w:p>
    <w:p w14:paraId="76B66947">
      <w:pPr>
        <w:rPr>
          <w:rFonts w:hint="eastAsia"/>
          <w:color w:val="auto"/>
        </w:rPr>
      </w:pPr>
    </w:p>
    <w:p w14:paraId="458646BE">
      <w:pPr>
        <w:pStyle w:val="2"/>
        <w:keepNext/>
        <w:keepLines/>
        <w:pageBreakBefore w:val="0"/>
        <w:widowControl w:val="0"/>
        <w:kinsoku/>
        <w:wordWrap/>
        <w:overflowPunct/>
        <w:topLinePunct w:val="0"/>
        <w:autoSpaceDE/>
        <w:autoSpaceDN/>
        <w:bidi w:val="0"/>
        <w:adjustRightInd/>
        <w:snapToGrid/>
        <w:spacing w:before="0" w:line="580" w:lineRule="exact"/>
        <w:ind w:firstLine="643"/>
        <w:textAlignment w:val="auto"/>
        <w:rPr>
          <w:rFonts w:hint="eastAsia"/>
          <w:color w:val="auto"/>
        </w:rPr>
      </w:pPr>
      <w:r>
        <w:rPr>
          <w:rFonts w:hint="eastAsia"/>
          <w:color w:val="auto"/>
        </w:rPr>
        <w:t>第五篇 持续加强生态文明建设，绘就美丽平山新图景</w:t>
      </w:r>
      <w:bookmarkEnd w:id="239"/>
      <w:bookmarkEnd w:id="240"/>
      <w:bookmarkEnd w:id="241"/>
    </w:p>
    <w:p w14:paraId="4B54D338">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ascii="仿宋_GB2312" w:hAnsi="Times New Roman"/>
          <w:color w:val="auto"/>
          <w:szCs w:val="32"/>
        </w:rPr>
        <w:t>落实党的二十届四中全会“美丽中国建设”战略部署，</w:t>
      </w:r>
      <w:r>
        <w:rPr>
          <w:rFonts w:hint="eastAsia"/>
          <w:color w:val="auto"/>
        </w:rPr>
        <w:t>发挥“国家生态文明建设示范区”示范引领作用，坚守生态底线，持续深化污染防治攻坚、生态保护修复与绿色低碳转型，建设人与自然和谐共生的美丽平山。</w:t>
      </w:r>
    </w:p>
    <w:p w14:paraId="1037F047">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47" w:name="_Toc217984291"/>
      <w:bookmarkStart w:id="248" w:name="_Toc211252051"/>
      <w:bookmarkStart w:id="249" w:name="_Toc225513237"/>
      <w:bookmarkStart w:id="250" w:name="_Toc216989133"/>
      <w:bookmarkStart w:id="251" w:name="_Toc216989124"/>
      <w:bookmarkStart w:id="252" w:name="_Toc211252043"/>
      <w:bookmarkStart w:id="253" w:name="_Toc217984282"/>
      <w:r>
        <w:rPr>
          <w:rFonts w:hint="eastAsia"/>
          <w:color w:val="auto"/>
        </w:rPr>
        <w:t>第一章 持续加强污染防治，全面改善生态环境</w:t>
      </w:r>
      <w:bookmarkEnd w:id="247"/>
      <w:bookmarkEnd w:id="248"/>
      <w:bookmarkEnd w:id="249"/>
      <w:bookmarkEnd w:id="250"/>
    </w:p>
    <w:p w14:paraId="4D097A9B">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54" w:name="_Toc217984292"/>
      <w:bookmarkStart w:id="255" w:name="_Toc216989134"/>
      <w:r>
        <w:rPr>
          <w:rFonts w:hint="eastAsia"/>
          <w:color w:val="auto"/>
        </w:rPr>
        <w:t>坚持把良好生态环境作为最普惠的民生福祉，完善精准治污、科学治污、依法治污举措，持之以恒推进大气、水、土壤综合治理，让平山天更蓝、地更绿、水更秀。</w:t>
      </w:r>
    </w:p>
    <w:p w14:paraId="7FB16997">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56" w:name="_Toc225513238"/>
      <w:r>
        <w:rPr>
          <w:rFonts w:hint="eastAsia"/>
          <w:color w:val="auto"/>
        </w:rPr>
        <w:t>一、持续推进大气污染防治</w:t>
      </w:r>
      <w:bookmarkEnd w:id="254"/>
      <w:bookmarkEnd w:id="255"/>
      <w:bookmarkEnd w:id="256"/>
    </w:p>
    <w:p w14:paraId="542CCB87">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以细颗粒物、氮氧化物和挥发性有机物协同控制为重点，健全区域联防联控机制，强化多污染物协同减排，严格企业超低排放管控，强化县城污染管控和精细化管理，持续推进散煤、工业炉窑等污染治理，强化移动污染源深度治理，鼓励大宗货物运输“公转铁”，巩固空气质量治理成效。</w:t>
      </w:r>
    </w:p>
    <w:p w14:paraId="5588D5AE">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57" w:name="_Toc217984294"/>
      <w:bookmarkStart w:id="258" w:name="_Toc216989136"/>
      <w:bookmarkStart w:id="259" w:name="_Toc211252093"/>
      <w:bookmarkStart w:id="260" w:name="_Toc225513239"/>
      <w:bookmarkStart w:id="261" w:name="_Toc217984293"/>
      <w:bookmarkStart w:id="262" w:name="_Toc216989135"/>
      <w:r>
        <w:rPr>
          <w:rFonts w:hint="eastAsia"/>
          <w:color w:val="auto"/>
        </w:rPr>
        <w:t>二、全面加强水污染</w:t>
      </w:r>
      <w:bookmarkEnd w:id="257"/>
      <w:bookmarkEnd w:id="258"/>
      <w:bookmarkEnd w:id="259"/>
      <w:r>
        <w:rPr>
          <w:rFonts w:hint="eastAsia"/>
          <w:color w:val="auto"/>
        </w:rPr>
        <w:t>防治</w:t>
      </w:r>
      <w:bookmarkEnd w:id="260"/>
    </w:p>
    <w:p w14:paraId="7D7A53AB">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深化落实“河长制”，</w:t>
      </w:r>
      <w:r>
        <w:rPr>
          <w:rFonts w:hint="eastAsia" w:ascii="仿宋_GB2312"/>
          <w:color w:val="auto"/>
        </w:rPr>
        <w:t>将水污染防治成效纳入河湖长履职考核核心内容，</w:t>
      </w:r>
      <w:r>
        <w:rPr>
          <w:rFonts w:hint="eastAsia" w:ascii="仿宋_GB2312" w:hAnsi="仿宋"/>
          <w:color w:val="auto"/>
        </w:rPr>
        <w:t>健全巡河护河长效机制、水污染防治联防联控机制，强化生态环境资源承载力监测预警管理。完善城乡污水管网和处理设施，强化入河排污口常态化监测监管和分类整治，严格管控涉水企业排污行为，严禁偷排漏排。加强城乡“黑臭水体”排查整治，保持动态清零。</w:t>
      </w:r>
      <w:r>
        <w:rPr>
          <w:rFonts w:hint="eastAsia" w:ascii="仿宋_GB2312"/>
          <w:color w:val="auto"/>
        </w:rPr>
        <w:t>提升县城及乡镇污水处理厂处理能力，</w:t>
      </w:r>
      <w:r>
        <w:rPr>
          <w:rFonts w:hint="eastAsia" w:ascii="仿宋_GB2312" w:hAnsi="仿宋"/>
          <w:color w:val="auto"/>
        </w:rPr>
        <w:t>提高农村生活污水治理水平，推动水生态环境稳中向好。</w:t>
      </w:r>
    </w:p>
    <w:p w14:paraId="58E8B0B2">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63" w:name="_Toc225513240"/>
      <w:r>
        <w:rPr>
          <w:rFonts w:hint="eastAsia"/>
          <w:bCs/>
          <w:color w:val="auto"/>
        </w:rPr>
        <w:t>三、持续加强土壤污染</w:t>
      </w:r>
      <w:bookmarkEnd w:id="261"/>
      <w:bookmarkEnd w:id="262"/>
      <w:r>
        <w:rPr>
          <w:rFonts w:hint="eastAsia"/>
          <w:bCs/>
          <w:color w:val="auto"/>
        </w:rPr>
        <w:t>防治</w:t>
      </w:r>
      <w:bookmarkEnd w:id="263"/>
    </w:p>
    <w:p w14:paraId="71CF73F4">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开展土壤污染源头防控和绿色低碳修复，逐步推进地下水污染管控和修复，推进农业面源污染防治和化肥农药减量增效，加强畜禽粪污资源化利用，全面推动秸秆综合利用和可降解地膜应用。有效管控建设用地土壤环境风险，探索土壤污染绿色低碳修复模式。</w:t>
      </w:r>
    </w:p>
    <w:p w14:paraId="3EA048EF">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64" w:name="_Toc211252092"/>
      <w:bookmarkStart w:id="265" w:name="_Toc225513241"/>
      <w:bookmarkStart w:id="266" w:name="_Toc216989137"/>
      <w:bookmarkStart w:id="267" w:name="_Toc217984295"/>
      <w:r>
        <w:rPr>
          <w:rFonts w:hint="eastAsia"/>
          <w:color w:val="auto"/>
        </w:rPr>
        <w:t>四、健全垃圾收运处置体系</w:t>
      </w:r>
      <w:bookmarkEnd w:id="264"/>
      <w:bookmarkEnd w:id="265"/>
      <w:bookmarkEnd w:id="266"/>
      <w:bookmarkEnd w:id="267"/>
    </w:p>
    <w:p w14:paraId="261AC4E1">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ascii="仿宋_GB2312" w:hAnsi="仿宋"/>
          <w:color w:val="auto"/>
        </w:rPr>
        <w:t>完善“户分类、村收集、乡转运、县处理”的农村垃圾处理模式，新增农村垃圾收集点，配备专业收运车辆，提高农村生活垃圾收运处置率，提升垃圾无害化处理能力。完善生活垃圾分类激励机制，推广垃圾分类，实现县城、重点乡镇、旅游景区全覆盖，提升生活垃圾回收利用率，引导群众养成良好分类习惯。建设再生资源回收智能化分拣中心，</w:t>
      </w:r>
      <w:r>
        <w:rPr>
          <w:rFonts w:hint="eastAsia"/>
          <w:color w:val="auto"/>
        </w:rPr>
        <w:t>完善城乡固废收运处置体系，强化固体废物污染环境防治，推进工业固废、农业固废、危险废物等分类处置和资源化利用，严控固体废物环境风险，推进固体废物资源化利用，构建“生产-消费-回收”循环利用模式。</w:t>
      </w:r>
    </w:p>
    <w:p w14:paraId="6BFFAD39">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68" w:name="_Toc225513242"/>
      <w:r>
        <w:rPr>
          <w:rFonts w:hint="eastAsia"/>
          <w:color w:val="auto"/>
        </w:rPr>
        <w:t>第二章 加强生态保护修复，筑牢生态安全屏障</w:t>
      </w:r>
      <w:bookmarkEnd w:id="251"/>
      <w:bookmarkEnd w:id="252"/>
      <w:bookmarkEnd w:id="253"/>
      <w:bookmarkEnd w:id="268"/>
    </w:p>
    <w:p w14:paraId="4AA55A78">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69" w:name="_Toc217984283"/>
      <w:bookmarkStart w:id="270" w:name="_Toc216989125"/>
      <w:bookmarkStart w:id="271" w:name="_Toc211252044"/>
      <w:r>
        <w:rPr>
          <w:rFonts w:hint="eastAsia"/>
          <w:color w:val="auto"/>
        </w:rPr>
        <w:t>立足生态功能区定位，统筹山水林田湖草沙一体化保护和系统修复，健全完善生态环境分区管控制度，筑牢生态安全屏障。</w:t>
      </w:r>
    </w:p>
    <w:p w14:paraId="448C83B0">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72" w:name="_Toc225513243"/>
      <w:r>
        <w:rPr>
          <w:rFonts w:hint="eastAsia"/>
          <w:color w:val="auto"/>
        </w:rPr>
        <w:t>一、</w:t>
      </w:r>
      <w:bookmarkEnd w:id="269"/>
      <w:bookmarkEnd w:id="270"/>
      <w:bookmarkEnd w:id="271"/>
      <w:r>
        <w:rPr>
          <w:rFonts w:hint="eastAsia"/>
          <w:color w:val="auto"/>
        </w:rPr>
        <w:t>持续加强山场、林业资源保护管理</w:t>
      </w:r>
      <w:bookmarkEnd w:id="272"/>
    </w:p>
    <w:p w14:paraId="5DA4C576">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高质量完成“三北”工程建设任务，稳步推进太行山绿化、村庄绿化、封山育林等工作。创新现代化国有林场经营管理</w:t>
      </w:r>
      <w:r>
        <w:rPr>
          <w:rFonts w:hint="eastAsia" w:ascii="仿宋_GB2312"/>
          <w:color w:val="auto"/>
        </w:rPr>
        <w:t>模式，协同深化集体林权制度改革，建立完善林业资源资产台账和产权制度，严格林地草地用途管制，统筹推进国有林场基础设施建设，打造高效实用、智能绿色、安全可靠的基础设施体系。</w:t>
      </w:r>
      <w:r>
        <w:rPr>
          <w:rFonts w:hint="eastAsia"/>
          <w:color w:val="auto"/>
        </w:rPr>
        <w:t>对历史遗留矿山实施“一矿一策”修复治理，结合生态修复推进土地资源合理利用。</w:t>
      </w:r>
    </w:p>
    <w:p w14:paraId="1538277F">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73" w:name="_Toc225513244"/>
      <w:r>
        <w:rPr>
          <w:rFonts w:hint="eastAsia"/>
          <w:color w:val="auto"/>
        </w:rPr>
        <w:t>二、扎实推进水生态治理</w:t>
      </w:r>
      <w:bookmarkEnd w:id="273"/>
    </w:p>
    <w:p w14:paraId="264FEEA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hAnsi="仿宋"/>
          <w:color w:val="auto"/>
        </w:rPr>
        <w:t>加强岗南、黄壁庄水库饮用水水源地保护区保护管理，强化农村饮用水水源水质监测，保障饮用水水源安全。推进滹沱河、冶河等流域环境综合治理，</w:t>
      </w:r>
      <w:r>
        <w:rPr>
          <w:rFonts w:hint="eastAsia"/>
          <w:color w:val="auto"/>
        </w:rPr>
        <w:t>开展小流域水土流失治理</w:t>
      </w:r>
      <w:r>
        <w:rPr>
          <w:rFonts w:hint="eastAsia" w:ascii="仿宋_GB2312" w:hAnsi="仿宋"/>
          <w:color w:val="auto"/>
        </w:rPr>
        <w:t>和河道生态护岸改造</w:t>
      </w:r>
      <w:r>
        <w:rPr>
          <w:rFonts w:hint="eastAsia"/>
          <w:color w:val="auto"/>
        </w:rPr>
        <w:t>，</w:t>
      </w:r>
      <w:r>
        <w:rPr>
          <w:rFonts w:hint="eastAsia" w:ascii="仿宋_GB2312" w:hAnsi="仿宋"/>
          <w:color w:val="auto"/>
        </w:rPr>
        <w:t>加强幸福河湖、美丽河湖建设，推进河北省水网先导区建设等试点建设</w:t>
      </w:r>
      <w:r>
        <w:rPr>
          <w:rFonts w:hint="eastAsia"/>
          <w:color w:val="auto"/>
        </w:rPr>
        <w:t>。</w:t>
      </w:r>
      <w:r>
        <w:rPr>
          <w:rFonts w:hint="eastAsia" w:ascii="仿宋_GB2312" w:hAnsi="仿宋"/>
          <w:color w:val="auto"/>
        </w:rPr>
        <w:t xml:space="preserve"> </w:t>
      </w:r>
      <w:r>
        <w:rPr>
          <w:rFonts w:hint="eastAsia"/>
          <w:color w:val="auto"/>
        </w:rPr>
        <w:t>加强湿地保护与恢复，提升湿地净化水质、调蓄洪水等生态功能，</w:t>
      </w:r>
      <w:r>
        <w:rPr>
          <w:rFonts w:hint="eastAsia" w:ascii="仿宋_GB2312"/>
          <w:color w:val="auto"/>
        </w:rPr>
        <w:t>构建“河-库-湿地”协同保护的水生态格局。强化水资源保障，推进节水型社会建设，推广高效节水技术与模式，推行工业企业水循环利用改造，加强再生水利用配置，提高水资源利用率。</w:t>
      </w:r>
      <w:bookmarkStart w:id="274" w:name="_Toc216989126"/>
      <w:bookmarkStart w:id="275" w:name="_Toc217984284"/>
      <w:bookmarkStart w:id="276" w:name="_Toc211252045"/>
    </w:p>
    <w:p w14:paraId="638278DE">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77" w:name="_Toc225513245"/>
      <w:r>
        <w:rPr>
          <w:rFonts w:hint="eastAsia"/>
          <w:color w:val="auto"/>
        </w:rPr>
        <w:t>三、野生动植物及其栖息地保护</w:t>
      </w:r>
      <w:bookmarkEnd w:id="277"/>
    </w:p>
    <w:p w14:paraId="1F63C97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开展县域野生动植物资源全面普查，建立物种名录与分布数据库，明确重点保护物种的核心栖息地范围，加强动态监控和保护措施。实施栖息地生态修复工程，在滹沱河、冶河湿地及西部山区，通过植被恢复、河道整治、生态廊道建设等措施，改善野生动植物生存环境，打通物种迁徙通道。</w:t>
      </w:r>
    </w:p>
    <w:p w14:paraId="5233EA5D">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rPr>
      </w:pPr>
      <w:bookmarkStart w:id="278" w:name="OLE_LINK8"/>
      <w:bookmarkStart w:id="279" w:name="_Toc216989128"/>
      <w:bookmarkStart w:id="280" w:name="_Toc217984286"/>
      <w:bookmarkStart w:id="281" w:name="_Toc225513246"/>
      <w:r>
        <w:rPr>
          <w:rFonts w:hint="eastAsia"/>
          <w:color w:val="auto"/>
        </w:rPr>
        <w:t>四、</w:t>
      </w:r>
      <w:bookmarkEnd w:id="278"/>
      <w:bookmarkEnd w:id="279"/>
      <w:bookmarkEnd w:id="280"/>
      <w:r>
        <w:rPr>
          <w:rFonts w:hint="eastAsia"/>
          <w:color w:val="auto"/>
        </w:rPr>
        <w:t>健全生态监测与监管体系</w:t>
      </w:r>
      <w:bookmarkEnd w:id="274"/>
      <w:bookmarkEnd w:id="275"/>
      <w:bookmarkEnd w:id="276"/>
      <w:bookmarkEnd w:id="281"/>
    </w:p>
    <w:p w14:paraId="2CB2C45C">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建立完善覆盖县域的生态环境监测网络，整合大气、水质、土壤等监测数据，实现重点污染源、生态敏感区</w:t>
      </w:r>
      <w:r>
        <w:rPr>
          <w:rFonts w:hint="eastAsia" w:ascii="仿宋_GB2312" w:hAnsi="仿宋_GB2312" w:cs="仿宋_GB2312"/>
          <w:color w:val="auto"/>
        </w:rPr>
        <w:t>24</w:t>
      </w:r>
      <w:r>
        <w:rPr>
          <w:rFonts w:hint="eastAsia"/>
          <w:color w:val="auto"/>
        </w:rPr>
        <w:t>小时在线监控；加强自然生态保护，强化生态保护红线管控，维护生态系统完整性和生物多样性；完善地质灾害四级监测体系，强化西部山区地质灾害风险预警与应急处置能力，提升生态环境监管精准性与有效性。</w:t>
      </w:r>
    </w:p>
    <w:p w14:paraId="6123B757">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82" w:name="_Toc217984296"/>
      <w:bookmarkStart w:id="283" w:name="_Toc211252052"/>
      <w:bookmarkStart w:id="284" w:name="_Toc216989138"/>
      <w:bookmarkStart w:id="285" w:name="_Toc225513247"/>
      <w:r>
        <w:rPr>
          <w:rFonts w:hint="eastAsia"/>
          <w:color w:val="auto"/>
        </w:rPr>
        <w:t>第三章 推动绿色低碳转型，培育生态发展新动能</w:t>
      </w:r>
      <w:bookmarkEnd w:id="282"/>
      <w:bookmarkEnd w:id="283"/>
      <w:bookmarkEnd w:id="284"/>
      <w:bookmarkEnd w:id="285"/>
    </w:p>
    <w:p w14:paraId="323D6E1B">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牢固树立“绿水青山就是金山银山”理念，以制度创新和市场机制为核心，探索生态产品价值实现的有效路径，打通“绿水青山”向“金山银山”转化的通道。</w:t>
      </w:r>
      <w:bookmarkStart w:id="286" w:name="_Toc217984297"/>
      <w:bookmarkStart w:id="287" w:name="_Toc211252053"/>
      <w:bookmarkStart w:id="288" w:name="_Toc216989139"/>
    </w:p>
    <w:p w14:paraId="79B5D20E">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89" w:name="_Toc225513248"/>
      <w:r>
        <w:rPr>
          <w:rFonts w:hint="eastAsia"/>
          <w:color w:val="auto"/>
        </w:rPr>
        <w:t>一、推动县域产业绿色低碳转型</w:t>
      </w:r>
      <w:bookmarkEnd w:id="286"/>
      <w:bookmarkEnd w:id="287"/>
      <w:bookmarkEnd w:id="288"/>
      <w:bookmarkEnd w:id="289"/>
    </w:p>
    <w:p w14:paraId="4F485188">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color w:val="auto"/>
        </w:rPr>
        <w:t>积极稳妥推进</w:t>
      </w:r>
      <w:r>
        <w:rPr>
          <w:rFonts w:hint="eastAsia"/>
          <w:color w:val="auto"/>
        </w:rPr>
        <w:t>碳中和</w:t>
      </w:r>
      <w:r>
        <w:rPr>
          <w:color w:val="auto"/>
        </w:rPr>
        <w:t>碳达峰</w:t>
      </w:r>
      <w:r>
        <w:rPr>
          <w:rFonts w:hint="eastAsia"/>
          <w:color w:val="auto"/>
        </w:rPr>
        <w:t>，强化碳排放总量和强度双控，推动产业结构、能源结构优化调整，推进超临界热电联产技术应用，</w:t>
      </w:r>
      <w:r>
        <w:rPr>
          <w:rFonts w:hint="eastAsia" w:ascii="Times New Roman" w:hAnsi="Times New Roman" w:cs="Times New Roman"/>
          <w:bCs/>
          <w:color w:val="auto"/>
          <w:szCs w:val="32"/>
        </w:rPr>
        <w:t>促进</w:t>
      </w:r>
      <w:r>
        <w:rPr>
          <w:rFonts w:ascii="Times New Roman" w:hAnsi="Times New Roman" w:cs="Times New Roman"/>
          <w:bCs/>
          <w:color w:val="auto"/>
          <w:szCs w:val="32"/>
        </w:rPr>
        <w:t>煤炭清洁高效利用，</w:t>
      </w:r>
      <w:r>
        <w:rPr>
          <w:rFonts w:hint="eastAsia"/>
          <w:color w:val="auto"/>
        </w:rPr>
        <w:t>实现单位</w:t>
      </w:r>
      <w:r>
        <w:rPr>
          <w:rFonts w:hint="eastAsia" w:ascii="仿宋_GB2312" w:hAnsi="仿宋_GB2312" w:cs="仿宋_GB2312"/>
          <w:color w:val="auto"/>
        </w:rPr>
        <w:t>GDP</w:t>
      </w:r>
      <w:r>
        <w:rPr>
          <w:rFonts w:hint="eastAsia"/>
          <w:color w:val="auto"/>
        </w:rPr>
        <w:t>能耗稳定下降</w:t>
      </w:r>
      <w:r>
        <w:rPr>
          <w:rFonts w:hint="eastAsia" w:ascii="Times New Roman" w:hAnsi="Times New Roman" w:cs="Times New Roman"/>
          <w:bCs/>
          <w:color w:val="auto"/>
          <w:szCs w:val="32"/>
        </w:rPr>
        <w:t>。</w:t>
      </w:r>
      <w:r>
        <w:rPr>
          <w:rFonts w:ascii="Times New Roman" w:hAnsi="Times New Roman" w:cs="Times New Roman"/>
          <w:bCs/>
          <w:color w:val="auto"/>
          <w:szCs w:val="32"/>
        </w:rPr>
        <w:t>鼓励</w:t>
      </w:r>
      <w:r>
        <w:rPr>
          <w:rFonts w:hint="eastAsia" w:ascii="Times New Roman" w:hAnsi="Times New Roman" w:cs="Times New Roman"/>
          <w:bCs/>
          <w:color w:val="auto"/>
          <w:szCs w:val="32"/>
        </w:rPr>
        <w:t>钢铁、火电等传</w:t>
      </w:r>
      <w:r>
        <w:rPr>
          <w:rFonts w:ascii="Times New Roman" w:hAnsi="Times New Roman" w:cs="Times New Roman"/>
          <w:bCs/>
          <w:color w:val="auto"/>
          <w:szCs w:val="32"/>
        </w:rPr>
        <w:t>统产业设备更新和工艺流程再造，</w:t>
      </w:r>
      <w:r>
        <w:rPr>
          <w:rFonts w:hint="eastAsia" w:ascii="Times New Roman" w:hAnsi="Times New Roman" w:cs="Times New Roman"/>
          <w:bCs/>
          <w:color w:val="auto"/>
          <w:szCs w:val="32"/>
        </w:rPr>
        <w:t>支持企业创建绿色工厂，</w:t>
      </w:r>
      <w:r>
        <w:rPr>
          <w:rFonts w:ascii="Times New Roman" w:hAnsi="Times New Roman" w:cs="Times New Roman"/>
          <w:bCs/>
          <w:color w:val="auto"/>
          <w:szCs w:val="32"/>
        </w:rPr>
        <w:t>坚决遏制</w:t>
      </w:r>
      <w:r>
        <w:rPr>
          <w:rFonts w:hint="eastAsia" w:ascii="Times New Roman" w:hAnsi="Times New Roman" w:cs="Times New Roman"/>
          <w:bCs/>
          <w:color w:val="auto"/>
          <w:szCs w:val="32"/>
        </w:rPr>
        <w:t>“</w:t>
      </w:r>
      <w:r>
        <w:rPr>
          <w:rFonts w:ascii="Times New Roman" w:hAnsi="Times New Roman" w:cs="Times New Roman"/>
          <w:bCs/>
          <w:color w:val="auto"/>
          <w:szCs w:val="32"/>
        </w:rPr>
        <w:t>两高一低</w:t>
      </w:r>
      <w:r>
        <w:rPr>
          <w:rFonts w:hint="eastAsia" w:ascii="Times New Roman" w:hAnsi="Times New Roman" w:cs="Times New Roman"/>
          <w:bCs/>
          <w:color w:val="auto"/>
          <w:szCs w:val="32"/>
        </w:rPr>
        <w:t>”</w:t>
      </w:r>
      <w:r>
        <w:rPr>
          <w:rFonts w:ascii="Times New Roman" w:hAnsi="Times New Roman" w:cs="Times New Roman"/>
          <w:bCs/>
          <w:color w:val="auto"/>
          <w:szCs w:val="32"/>
        </w:rPr>
        <w:t>项目盲目上马。</w:t>
      </w:r>
      <w:r>
        <w:rPr>
          <w:rFonts w:hint="eastAsia" w:ascii="Times New Roman" w:hAnsi="Times New Roman" w:cs="Times New Roman"/>
          <w:bCs/>
          <w:color w:val="auto"/>
          <w:szCs w:val="32"/>
        </w:rPr>
        <w:t>谋划实施弘天物流铁路专用线等项目，</w:t>
      </w:r>
      <w:r>
        <w:rPr>
          <w:rFonts w:ascii="Times New Roman" w:hAnsi="Times New Roman" w:cs="Times New Roman"/>
          <w:bCs/>
          <w:color w:val="auto"/>
          <w:szCs w:val="32"/>
        </w:rPr>
        <w:t>推动大宗货物</w:t>
      </w:r>
      <w:r>
        <w:rPr>
          <w:rFonts w:hint="eastAsia" w:ascii="Times New Roman" w:hAnsi="Times New Roman" w:cs="Times New Roman"/>
          <w:bCs/>
          <w:color w:val="auto"/>
          <w:szCs w:val="32"/>
        </w:rPr>
        <w:t>运输“</w:t>
      </w:r>
      <w:r>
        <w:rPr>
          <w:rFonts w:ascii="Times New Roman" w:hAnsi="Times New Roman" w:cs="Times New Roman"/>
          <w:bCs/>
          <w:color w:val="auto"/>
          <w:szCs w:val="32"/>
        </w:rPr>
        <w:t>公转铁</w:t>
      </w:r>
      <w:r>
        <w:rPr>
          <w:rFonts w:hint="eastAsia" w:ascii="Times New Roman" w:hAnsi="Times New Roman" w:cs="Times New Roman"/>
          <w:bCs/>
          <w:color w:val="auto"/>
          <w:szCs w:val="32"/>
        </w:rPr>
        <w:t>”和</w:t>
      </w:r>
      <w:r>
        <w:rPr>
          <w:rFonts w:ascii="Times New Roman" w:hAnsi="Times New Roman" w:cs="Times New Roman"/>
          <w:bCs/>
          <w:color w:val="auto"/>
          <w:szCs w:val="32"/>
        </w:rPr>
        <w:t>运输工具低碳转型，推进交通基础设施绿色建设和改造</w:t>
      </w:r>
      <w:r>
        <w:rPr>
          <w:rFonts w:hint="eastAsia" w:ascii="Times New Roman" w:hAnsi="Times New Roman" w:cs="Times New Roman"/>
          <w:bCs/>
          <w:color w:val="auto"/>
          <w:szCs w:val="32"/>
        </w:rPr>
        <w:t>。</w:t>
      </w:r>
    </w:p>
    <w:p w14:paraId="246C9E5B">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90" w:name="_Toc225513249"/>
      <w:bookmarkStart w:id="291" w:name="_Toc217984298"/>
      <w:bookmarkStart w:id="292" w:name="_Toc216989140"/>
      <w:r>
        <w:rPr>
          <w:rFonts w:hint="eastAsia"/>
          <w:color w:val="auto"/>
        </w:rPr>
        <w:t>二、</w:t>
      </w:r>
      <w:bookmarkStart w:id="293" w:name="_Toc217984299"/>
      <w:bookmarkStart w:id="294" w:name="_Toc216989141"/>
      <w:r>
        <w:rPr>
          <w:rFonts w:hint="eastAsia"/>
          <w:color w:val="auto"/>
        </w:rPr>
        <w:t>健全生态资源价值转化机制</w:t>
      </w:r>
      <w:bookmarkEnd w:id="290"/>
      <w:bookmarkEnd w:id="293"/>
      <w:bookmarkEnd w:id="294"/>
    </w:p>
    <w:p w14:paraId="7603DBA0">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充分依托平山作为重要生态功能区的特殊地位，探索争取横向生态补偿资金。系统梳理水、森林、土壤等优质生态资源，探索建立生态产品目录清单，推动生态资源价值“增值”。普查县域内符合条件的森林资源，探索开发林业碳汇项目，主动对接纳入京津冀区域及全国碳排放权交易体系，激活林业碳汇交易潜力。</w:t>
      </w:r>
      <w:r>
        <w:rPr>
          <w:rFonts w:hint="eastAsia" w:ascii="仿宋_GB2312"/>
          <w:color w:val="auto"/>
        </w:rPr>
        <w:t>依托国有林场，因地制宜发展林下经济，带动集体林地适度规模经营。</w:t>
      </w:r>
      <w:r>
        <w:rPr>
          <w:rFonts w:hint="eastAsia"/>
          <w:color w:val="auto"/>
        </w:rPr>
        <w:t>鼓励社会资本参与生态产品经营开发，发展高端饮用水、富氧康养等健康产业，提升生态资源的附加值。</w:t>
      </w:r>
      <w:bookmarkEnd w:id="291"/>
      <w:bookmarkEnd w:id="292"/>
    </w:p>
    <w:p w14:paraId="0D0D8FC6">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95" w:name="_Toc225513250"/>
      <w:r>
        <w:rPr>
          <w:rFonts w:hint="eastAsia"/>
          <w:color w:val="auto"/>
        </w:rPr>
        <w:t>三、加快形成绿色低碳生活方式</w:t>
      </w:r>
      <w:bookmarkEnd w:id="295"/>
    </w:p>
    <w:p w14:paraId="5C516224">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大力推广绿色出行、绿色建筑等举措，完善新能源汽车充电基础设施网络，开展绿色单位创建活动，扩大政府绿色采购范围，引导全社会形成绿色低碳的生活习惯。健全生态环境保护机制，落实生态环境损害赔偿制度，强化生态环境执法监管，广泛开展低碳生活方式宣传科普，营造全社会共同守护生态环境的良好氛围。</w:t>
      </w:r>
    </w:p>
    <w:p w14:paraId="5311EE10">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p>
    <w:tbl>
      <w:tblPr>
        <w:tblStyle w:val="32"/>
        <w:tblW w:w="85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7"/>
      </w:tblGrid>
      <w:tr w14:paraId="75870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17" w:type="dxa"/>
          </w:tcPr>
          <w:p w14:paraId="392ED64C">
            <w:pPr>
              <w:ind w:firstLine="0" w:firstLineChars="0"/>
              <w:jc w:val="center"/>
              <w:rPr>
                <w:rFonts w:hint="eastAsia" w:ascii="宋体" w:hAnsi="宋体" w:eastAsia="宋体"/>
                <w:b/>
                <w:bCs/>
                <w:color w:val="auto"/>
                <w:kern w:val="0"/>
                <w:sz w:val="24"/>
                <w:szCs w:val="24"/>
              </w:rPr>
            </w:pPr>
            <w:r>
              <w:rPr>
                <w:rFonts w:hint="eastAsia" w:ascii="宋体" w:hAnsi="宋体" w:eastAsia="宋体"/>
                <w:b/>
                <w:bCs/>
                <w:color w:val="auto"/>
                <w:kern w:val="0"/>
                <w:sz w:val="24"/>
                <w:szCs w:val="24"/>
              </w:rPr>
              <w:t>专栏4：生态环境保护与绿色发展领域</w:t>
            </w:r>
          </w:p>
          <w:p w14:paraId="54DFE592">
            <w:pPr>
              <w:ind w:firstLine="0" w:firstLineChars="0"/>
              <w:rPr>
                <w:rFonts w:hint="eastAsia" w:eastAsia="宋体"/>
                <w:color w:val="auto"/>
                <w:kern w:val="0"/>
                <w:sz w:val="24"/>
                <w:lang w:bidi="ar"/>
              </w:rPr>
            </w:pPr>
            <w:r>
              <w:rPr>
                <w:rFonts w:ascii="Times New Roman" w:hAnsi="Times New Roman" w:eastAsia="宋体" w:cs="Times New Roman"/>
                <w:b/>
                <w:bCs/>
                <w:color w:val="auto"/>
                <w:kern w:val="0"/>
                <w:sz w:val="24"/>
                <w:szCs w:val="24"/>
              </w:rPr>
              <w:t>1.大气污染防治</w:t>
            </w:r>
            <w:r>
              <w:rPr>
                <w:rFonts w:hint="eastAsia" w:ascii="Times New Roman" w:hAnsi="Times New Roman" w:eastAsia="宋体" w:cs="Times New Roman"/>
                <w:b/>
                <w:bCs/>
                <w:color w:val="auto"/>
                <w:kern w:val="0"/>
                <w:sz w:val="24"/>
                <w:szCs w:val="24"/>
              </w:rPr>
              <w:t>：</w:t>
            </w:r>
            <w:r>
              <w:rPr>
                <w:rFonts w:ascii="Times New Roman" w:hAnsi="Times New Roman" w:eastAsia="宋体" w:cs="Times New Roman"/>
                <w:color w:val="auto"/>
                <w:sz w:val="24"/>
                <w:szCs w:val="24"/>
              </w:rPr>
              <w:t>深化重点行业污染减排，推进重点行业深度治理，提升重点行业环保绩效水平</w:t>
            </w:r>
            <w:r>
              <w:rPr>
                <w:rFonts w:hint="eastAsia" w:ascii="Times New Roman" w:hAnsi="Times New Roman" w:eastAsia="宋体" w:cs="Times New Roman"/>
                <w:color w:val="auto"/>
                <w:sz w:val="24"/>
                <w:szCs w:val="24"/>
              </w:rPr>
              <w:t>；</w:t>
            </w:r>
            <w:r>
              <w:rPr>
                <w:rFonts w:ascii="Times New Roman" w:hAnsi="Times New Roman" w:eastAsia="宋体" w:cs="Times New Roman"/>
                <w:color w:val="auto"/>
                <w:kern w:val="0"/>
                <w:sz w:val="24"/>
                <w:szCs w:val="24"/>
                <w:lang w:bidi="ar"/>
              </w:rPr>
              <w:t>深化移动源监管和污染治理，建立柴油货车常态化检查检测长效机制，优化调整非道路移动机械低排放控制区</w:t>
            </w:r>
            <w:r>
              <w:rPr>
                <w:rFonts w:hint="eastAsia" w:ascii="Times New Roman" w:hAnsi="Times New Roman" w:eastAsia="宋体" w:cs="Times New Roman"/>
                <w:color w:val="auto"/>
                <w:kern w:val="0"/>
                <w:sz w:val="24"/>
                <w:szCs w:val="24"/>
                <w:lang w:bidi="ar"/>
              </w:rPr>
              <w:t>；</w:t>
            </w:r>
            <w:r>
              <w:rPr>
                <w:rFonts w:ascii="Times New Roman" w:hAnsi="Times New Roman" w:eastAsia="宋体" w:cs="Times New Roman"/>
                <w:color w:val="auto"/>
                <w:sz w:val="24"/>
                <w:szCs w:val="24"/>
              </w:rPr>
              <w:t>加强面源污染治理，强化施工扬尘</w:t>
            </w:r>
            <w:r>
              <w:rPr>
                <w:rFonts w:hint="eastAsia" w:ascii="Times New Roman" w:hAnsi="Times New Roman" w:eastAsia="宋体" w:cs="Times New Roman"/>
                <w:color w:val="auto"/>
                <w:sz w:val="24"/>
                <w:szCs w:val="24"/>
              </w:rPr>
              <w:t>“</w:t>
            </w:r>
            <w:r>
              <w:rPr>
                <w:rFonts w:ascii="Times New Roman" w:hAnsi="Times New Roman" w:eastAsia="宋体" w:cs="Times New Roman"/>
                <w:color w:val="auto"/>
                <w:sz w:val="24"/>
                <w:szCs w:val="24"/>
              </w:rPr>
              <w:t>六个百分百</w:t>
            </w:r>
            <w:r>
              <w:rPr>
                <w:rFonts w:hint="eastAsia" w:ascii="Times New Roman" w:hAnsi="Times New Roman" w:eastAsia="宋体" w:cs="Times New Roman"/>
                <w:color w:val="auto"/>
                <w:sz w:val="24"/>
                <w:szCs w:val="24"/>
              </w:rPr>
              <w:t>”</w:t>
            </w:r>
            <w:r>
              <w:rPr>
                <w:rFonts w:ascii="Times New Roman" w:hAnsi="Times New Roman" w:eastAsia="宋体" w:cs="Times New Roman"/>
                <w:color w:val="auto"/>
                <w:sz w:val="24"/>
                <w:szCs w:val="24"/>
              </w:rPr>
              <w:t>管理，提升道路清扫保洁水平</w:t>
            </w:r>
            <w:r>
              <w:rPr>
                <w:rFonts w:ascii="Times New Roman" w:hAnsi="Times New Roman" w:eastAsia="宋体" w:cs="Times New Roman"/>
                <w:color w:val="auto"/>
                <w:kern w:val="0"/>
                <w:sz w:val="24"/>
                <w:szCs w:val="24"/>
                <w:lang w:bidi="ar"/>
              </w:rPr>
              <w:t>，深化餐饮油烟污染和恶臭异味治理，强化秸秆综合利用和禁烧管控。</w:t>
            </w:r>
          </w:p>
          <w:p w14:paraId="2C76E237">
            <w:pPr>
              <w:ind w:firstLine="0" w:firstLineChars="0"/>
              <w:rPr>
                <w:rFonts w:hint="eastAsia" w:eastAsia="宋体"/>
                <w:color w:val="auto"/>
                <w:kern w:val="0"/>
                <w:sz w:val="24"/>
                <w:lang w:bidi="ar"/>
              </w:rPr>
            </w:pPr>
            <w:r>
              <w:rPr>
                <w:rFonts w:ascii="Times New Roman" w:hAnsi="Times New Roman" w:eastAsia="宋体" w:cs="Times New Roman"/>
                <w:b/>
                <w:bCs/>
                <w:color w:val="auto"/>
                <w:kern w:val="0"/>
                <w:sz w:val="24"/>
                <w:szCs w:val="24"/>
                <w:lang w:bidi="ar"/>
              </w:rPr>
              <w:t>2.水生态环境污染防治</w:t>
            </w:r>
            <w:r>
              <w:rPr>
                <w:rFonts w:hint="eastAsia" w:ascii="Times New Roman" w:hAnsi="Times New Roman" w:eastAsia="宋体" w:cs="Times New Roman"/>
                <w:b/>
                <w:bCs/>
                <w:color w:val="auto"/>
                <w:kern w:val="0"/>
                <w:sz w:val="24"/>
                <w:szCs w:val="24"/>
                <w:lang w:bidi="ar"/>
              </w:rPr>
              <w:t>：</w:t>
            </w:r>
            <w:r>
              <w:rPr>
                <w:rFonts w:hint="eastAsia" w:ascii="宋体" w:hAnsi="宋体" w:eastAsia="宋体"/>
                <w:color w:val="auto"/>
                <w:kern w:val="0"/>
                <w:sz w:val="24"/>
                <w:szCs w:val="24"/>
              </w:rPr>
              <w:t>系统推进险隘河、卸甲河幸福河湖建设</w:t>
            </w:r>
            <w:r>
              <w:rPr>
                <w:rFonts w:ascii="Times New Roman" w:hAnsi="Times New Roman" w:eastAsia="宋体" w:cs="Times New Roman"/>
                <w:color w:val="auto"/>
                <w:kern w:val="0"/>
                <w:sz w:val="24"/>
                <w:szCs w:val="24"/>
                <w:lang w:bidi="ar"/>
              </w:rPr>
              <w:t>，加快实施重点河流生态修复保护，持续加强饮用水水源地生态环境保护，健全完善入河排污口监督管理体系。</w:t>
            </w:r>
          </w:p>
          <w:p w14:paraId="67D11917">
            <w:pPr>
              <w:ind w:firstLine="0" w:firstLineChars="0"/>
              <w:rPr>
                <w:rFonts w:ascii="Times New Roman" w:hAnsi="Times New Roman" w:eastAsia="宋体" w:cs="Times New Roman"/>
                <w:color w:val="auto"/>
                <w:kern w:val="0"/>
                <w:sz w:val="24"/>
                <w:szCs w:val="24"/>
                <w:lang w:bidi="ar"/>
              </w:rPr>
            </w:pPr>
            <w:r>
              <w:rPr>
                <w:rFonts w:ascii="Times New Roman" w:hAnsi="Times New Roman" w:eastAsia="宋体" w:cs="Times New Roman"/>
                <w:b/>
                <w:bCs/>
                <w:color w:val="auto"/>
                <w:kern w:val="0"/>
                <w:sz w:val="24"/>
                <w:szCs w:val="24"/>
                <w:lang w:bidi="ar"/>
              </w:rPr>
              <w:t>3.土壤和地下水污染防治</w:t>
            </w:r>
            <w:r>
              <w:rPr>
                <w:rFonts w:hint="eastAsia" w:ascii="Times New Roman" w:hAnsi="Times New Roman" w:eastAsia="宋体" w:cs="Times New Roman"/>
                <w:b/>
                <w:bCs/>
                <w:color w:val="auto"/>
                <w:kern w:val="0"/>
                <w:sz w:val="24"/>
                <w:szCs w:val="24"/>
                <w:lang w:bidi="ar"/>
              </w:rPr>
              <w:t>：</w:t>
            </w:r>
            <w:r>
              <w:rPr>
                <w:rFonts w:ascii="Times New Roman" w:hAnsi="Times New Roman" w:eastAsia="宋体" w:cs="Times New Roman"/>
                <w:color w:val="auto"/>
                <w:kern w:val="0"/>
                <w:sz w:val="24"/>
                <w:szCs w:val="24"/>
                <w:lang w:bidi="ar"/>
              </w:rPr>
              <w:t>加强建设用地用途变更和污染地块风险管控联动监管</w:t>
            </w:r>
            <w:r>
              <w:rPr>
                <w:rFonts w:hint="eastAsia" w:ascii="Times New Roman" w:hAnsi="Times New Roman" w:eastAsia="宋体" w:cs="Times New Roman"/>
                <w:color w:val="auto"/>
                <w:kern w:val="0"/>
                <w:sz w:val="24"/>
                <w:szCs w:val="24"/>
                <w:lang w:bidi="ar"/>
              </w:rPr>
              <w:t>；</w:t>
            </w:r>
            <w:r>
              <w:rPr>
                <w:rFonts w:ascii="Times New Roman" w:hAnsi="Times New Roman" w:eastAsia="宋体" w:cs="Times New Roman"/>
                <w:color w:val="auto"/>
                <w:kern w:val="0"/>
                <w:sz w:val="24"/>
                <w:szCs w:val="24"/>
                <w:lang w:bidi="ar"/>
              </w:rPr>
              <w:t>统筹推进地下水污染防治，强化地下水环境监管，推动地下水污染问题整治。</w:t>
            </w:r>
          </w:p>
          <w:p w14:paraId="5BBC81A3">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4. “三北”防护林工程：</w:t>
            </w:r>
            <w:r>
              <w:rPr>
                <w:rFonts w:hint="eastAsia" w:ascii="宋体" w:hAnsi="宋体" w:eastAsia="宋体"/>
                <w:color w:val="auto"/>
                <w:kern w:val="0"/>
                <w:sz w:val="24"/>
                <w:szCs w:val="24"/>
              </w:rPr>
              <w:t>完成林草治理任务，构建京津冀防沙治沙防线。</w:t>
            </w:r>
          </w:p>
          <w:p w14:paraId="69C634D6">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5.水资源保护利用：</w:t>
            </w:r>
            <w:r>
              <w:rPr>
                <w:rFonts w:hint="eastAsia" w:ascii="宋体" w:hAnsi="宋体" w:eastAsia="宋体"/>
                <w:color w:val="auto"/>
                <w:kern w:val="0"/>
                <w:sz w:val="24"/>
                <w:szCs w:val="24"/>
              </w:rPr>
              <w:t>实施滹沱河、冶河、南甸河等防洪综合治理工程；</w:t>
            </w:r>
            <w:r>
              <w:rPr>
                <w:rFonts w:ascii="宋体" w:hAnsi="宋体" w:eastAsia="宋体" w:cs="Times New Roman"/>
                <w:color w:val="auto"/>
                <w:sz w:val="24"/>
                <w:szCs w:val="24"/>
              </w:rPr>
              <w:t>实施地下水超采综合治理，减少地下水开采</w:t>
            </w:r>
            <w:r>
              <w:rPr>
                <w:rFonts w:hint="eastAsia" w:ascii="宋体" w:hAnsi="宋体" w:eastAsia="宋体" w:cs="Times New Roman"/>
                <w:color w:val="auto"/>
                <w:sz w:val="24"/>
                <w:szCs w:val="24"/>
              </w:rPr>
              <w:t>；推进</w:t>
            </w:r>
            <w:r>
              <w:rPr>
                <w:rFonts w:hint="eastAsia" w:ascii="宋体" w:hAnsi="宋体" w:eastAsia="宋体"/>
                <w:color w:val="auto"/>
                <w:kern w:val="0"/>
                <w:sz w:val="24"/>
                <w:szCs w:val="24"/>
              </w:rPr>
              <w:t>中小型水库改造提升。</w:t>
            </w:r>
          </w:p>
          <w:p w14:paraId="73E5E1C9">
            <w:pPr>
              <w:ind w:firstLine="0" w:firstLineChars="0"/>
              <w:rPr>
                <w:rFonts w:hint="eastAsia" w:ascii="宋体" w:hAnsi="宋体" w:eastAsia="宋体"/>
                <w:color w:val="auto"/>
                <w:kern w:val="0"/>
                <w:sz w:val="24"/>
                <w:szCs w:val="24"/>
                <w:lang w:val="zh-CN"/>
              </w:rPr>
            </w:pPr>
            <w:r>
              <w:rPr>
                <w:rFonts w:hint="eastAsia" w:ascii="宋体" w:hAnsi="宋体" w:eastAsia="宋体"/>
                <w:b/>
                <w:bCs/>
                <w:color w:val="auto"/>
                <w:kern w:val="0"/>
                <w:sz w:val="24"/>
                <w:szCs w:val="24"/>
              </w:rPr>
              <w:t>6.生态修复提升工程：</w:t>
            </w:r>
            <w:r>
              <w:rPr>
                <w:rFonts w:hint="eastAsia" w:ascii="宋体" w:hAnsi="宋体" w:eastAsia="宋体"/>
                <w:color w:val="auto"/>
                <w:kern w:val="0"/>
                <w:sz w:val="24"/>
                <w:szCs w:val="24"/>
              </w:rPr>
              <w:t>推动太行山区山水林田湖草沙系统综合治理与生物多样性保护，</w:t>
            </w:r>
            <w:r>
              <w:rPr>
                <w:rFonts w:hint="eastAsia" w:ascii="宋体" w:hAnsi="宋体" w:eastAsia="宋体"/>
                <w:color w:val="auto"/>
                <w:kern w:val="0"/>
                <w:sz w:val="24"/>
                <w:szCs w:val="24"/>
                <w:lang w:val="zh-CN"/>
              </w:rPr>
              <w:t>滹沱河水土流失治理与饮用水水源地生态修复与保护，中心城区生态修复与生态功能提升，矿山生态修复，国土综合整治和生态廊道建设。</w:t>
            </w:r>
          </w:p>
          <w:p w14:paraId="5513D960">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lang w:val="zh-CN"/>
              </w:rPr>
              <w:t>7.争取滹沱河上游生态补偿：</w:t>
            </w:r>
            <w:r>
              <w:rPr>
                <w:rFonts w:hint="eastAsia" w:ascii="宋体" w:hAnsi="宋体" w:eastAsia="宋体"/>
                <w:color w:val="auto"/>
                <w:kern w:val="0"/>
                <w:sz w:val="24"/>
                <w:szCs w:val="24"/>
                <w:lang w:val="zh-CN"/>
              </w:rPr>
              <w:t>积极探索争取补偿资金。</w:t>
            </w:r>
          </w:p>
        </w:tc>
      </w:tr>
    </w:tbl>
    <w:p w14:paraId="5918B2A7">
      <w:pPr>
        <w:widowControl/>
        <w:spacing w:line="240" w:lineRule="auto"/>
        <w:ind w:firstLine="0" w:firstLineChars="0"/>
        <w:jc w:val="left"/>
        <w:rPr>
          <w:rFonts w:hint="eastAsia" w:eastAsia="黑体"/>
          <w:b/>
          <w:bCs/>
          <w:color w:val="auto"/>
          <w:kern w:val="44"/>
          <w:szCs w:val="44"/>
        </w:rPr>
      </w:pPr>
      <w:r>
        <w:rPr>
          <w:rFonts w:hint="eastAsia"/>
          <w:color w:val="auto"/>
        </w:rPr>
        <w:br w:type="page"/>
      </w:r>
    </w:p>
    <w:p w14:paraId="238A92E7">
      <w:pPr>
        <w:pStyle w:val="2"/>
        <w:pageBreakBefore w:val="0"/>
        <w:widowControl w:val="0"/>
        <w:kinsoku/>
        <w:wordWrap/>
        <w:overflowPunct/>
        <w:topLinePunct w:val="0"/>
        <w:autoSpaceDE/>
        <w:autoSpaceDN/>
        <w:bidi w:val="0"/>
        <w:adjustRightInd/>
        <w:snapToGrid/>
        <w:spacing w:line="580" w:lineRule="exact"/>
        <w:ind w:firstLine="643"/>
        <w:textAlignment w:val="auto"/>
        <w:rPr>
          <w:rFonts w:hint="eastAsia"/>
          <w:color w:val="auto"/>
        </w:rPr>
      </w:pPr>
      <w:bookmarkStart w:id="296" w:name="_Toc217984300"/>
      <w:bookmarkStart w:id="297" w:name="_Toc225513251"/>
      <w:r>
        <w:rPr>
          <w:rFonts w:hint="eastAsia"/>
          <w:color w:val="auto"/>
        </w:rPr>
        <w:t xml:space="preserve">第六篇 </w:t>
      </w:r>
      <w:r>
        <w:rPr>
          <w:color w:val="auto"/>
        </w:rPr>
        <w:t>优化</w:t>
      </w:r>
      <w:r>
        <w:rPr>
          <w:rFonts w:hint="eastAsia"/>
          <w:color w:val="auto"/>
        </w:rPr>
        <w:t>空间布局，推进城乡融合发展</w:t>
      </w:r>
      <w:bookmarkEnd w:id="242"/>
      <w:bookmarkEnd w:id="296"/>
      <w:bookmarkEnd w:id="297"/>
    </w:p>
    <w:p w14:paraId="1632606B">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Times New Roman"/>
          <w:color w:val="auto"/>
          <w:szCs w:val="32"/>
        </w:rPr>
        <w:t>落实党的二十届四中全会“优化国土空间发展格局”战略部署，</w:t>
      </w:r>
      <w:r>
        <w:rPr>
          <w:rFonts w:hint="eastAsia" w:ascii="仿宋_GB2312" w:hAnsi="仿宋"/>
          <w:color w:val="auto"/>
        </w:rPr>
        <w:t>衔接《平山县国土空间总体规划（2021-2035年）》 “一廊、两轴、三区、多组团”空间格局，加快城乡融合发展步伐。</w:t>
      </w:r>
    </w:p>
    <w:p w14:paraId="25A99AB3">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298" w:name="_Toc217984301"/>
      <w:bookmarkStart w:id="299" w:name="_Toc216989072"/>
      <w:bookmarkStart w:id="300" w:name="_Toc211252007"/>
      <w:bookmarkStart w:id="301" w:name="_Toc225513252"/>
      <w:bookmarkStart w:id="302" w:name="_Toc211252003"/>
      <w:bookmarkStart w:id="303" w:name="_Toc211251999"/>
      <w:r>
        <w:rPr>
          <w:rFonts w:hint="eastAsia"/>
          <w:color w:val="auto"/>
        </w:rPr>
        <w:t>第一章 衔接国土空间规划，构建“一张图”协同发展格局</w:t>
      </w:r>
      <w:bookmarkEnd w:id="298"/>
      <w:bookmarkEnd w:id="299"/>
      <w:bookmarkEnd w:id="300"/>
      <w:bookmarkEnd w:id="301"/>
    </w:p>
    <w:p w14:paraId="76A096D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围绕“一廊、两轴、三区、多组团”空间格局，对产业布局、重大基础设施、生态网络及公共服务设施进行统筹安排和空间落位，形成目标同向、措施一体、优势互补、互利共赢的协同发展新格局。</w:t>
      </w:r>
    </w:p>
    <w:p w14:paraId="09C7EA29">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04" w:name="_Toc225513253"/>
      <w:bookmarkStart w:id="305" w:name="_Toc216989073"/>
      <w:bookmarkStart w:id="306" w:name="_Toc211252008"/>
      <w:bookmarkStart w:id="307" w:name="_Toc217984302"/>
      <w:r>
        <w:rPr>
          <w:rFonts w:hint="eastAsia"/>
          <w:color w:val="auto"/>
        </w:rPr>
        <w:t>一、依托“一廊”：打造滹沱河生态与活力复合廊道</w:t>
      </w:r>
      <w:bookmarkEnd w:id="304"/>
      <w:bookmarkEnd w:id="305"/>
      <w:bookmarkEnd w:id="306"/>
      <w:bookmarkEnd w:id="307"/>
    </w:p>
    <w:p w14:paraId="556EECF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以滹沱河及其滨水地带为核心，构建集生态保护、休闲游憩、文化展示于一体的多功能复合廊道。</w:t>
      </w:r>
    </w:p>
    <w:p w14:paraId="1B85201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生态功能：</w:t>
      </w:r>
      <w:r>
        <w:rPr>
          <w:rFonts w:hint="eastAsia" w:ascii="仿宋_GB2312" w:hAnsi="仿宋"/>
          <w:color w:val="auto"/>
        </w:rPr>
        <w:t>严格保护河道沿线与两岸生态绿带，实施湿地修复与生态护岸工程，保障水源涵养与生物多样性，打造连接西部山区与东部平原的生态走廊。</w:t>
      </w:r>
    </w:p>
    <w:p w14:paraId="5D2DB95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交通与游憩功能：</w:t>
      </w:r>
      <w:r>
        <w:rPr>
          <w:rFonts w:hint="eastAsia" w:ascii="仿宋_GB2312" w:hAnsi="仿宋"/>
          <w:color w:val="auto"/>
        </w:rPr>
        <w:t>沿河规划建设连续的生态慢行绿道，串联岗南水库、西柏坡纪念馆、温塘温泉度假区等重要节点，打造“百里滹沱”滨水风景道，服务沿线居民健身休闲与游客观光。</w:t>
      </w:r>
    </w:p>
    <w:p w14:paraId="3E2C69B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产业与服务功能：</w:t>
      </w:r>
      <w:r>
        <w:rPr>
          <w:rFonts w:hint="eastAsia" w:ascii="仿宋_GB2312" w:hAnsi="仿宋"/>
          <w:color w:val="auto"/>
        </w:rPr>
        <w:t>在廊道两侧适宜区域，布局旅游驿站、房车营地、特色餐饮区等文旅配套服务设施，推动“水岸经济”发展。</w:t>
      </w:r>
    </w:p>
    <w:p w14:paraId="48E172C4">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rPr>
      </w:pPr>
      <w:bookmarkStart w:id="308" w:name="_Toc217984303"/>
      <w:bookmarkStart w:id="309" w:name="_Toc216989074"/>
      <w:bookmarkStart w:id="310" w:name="_Toc225513254"/>
      <w:bookmarkStart w:id="311" w:name="_Toc211252009"/>
      <w:r>
        <w:rPr>
          <w:rFonts w:hint="eastAsia"/>
          <w:color w:val="auto"/>
        </w:rPr>
        <w:t>二、贯通“两轴”：</w:t>
      </w:r>
      <w:r>
        <w:rPr>
          <w:rFonts w:hint="eastAsia" w:ascii="仿宋_GB2312" w:hAnsi="仿宋_GB2312" w:cs="仿宋_GB2312"/>
          <w:color w:val="auto"/>
        </w:rPr>
        <w:t>强化G338与G207城乡融合发展轴</w:t>
      </w:r>
      <w:bookmarkEnd w:id="308"/>
      <w:bookmarkEnd w:id="309"/>
      <w:bookmarkEnd w:id="310"/>
      <w:bookmarkEnd w:id="311"/>
    </w:p>
    <w:p w14:paraId="0BFCB3C1">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依托两条国省干线公路，构建支撑县域东西向与南北向联动发展的核心发展轴带。</w:t>
      </w:r>
    </w:p>
    <w:p w14:paraId="7888B1D3">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lang w:val="zh-CN"/>
        </w:rPr>
      </w:pPr>
      <w:bookmarkStart w:id="312" w:name="_Toc211252010"/>
      <w:r>
        <w:rPr>
          <w:rFonts w:hint="eastAsia" w:ascii="仿宋_GB2312"/>
          <w:color w:val="auto"/>
          <w:lang w:val="zh-CN"/>
        </w:rPr>
        <w:t>G338城乡融合发展轴以县城为核心，东西向联系中心城区、东回舍、温塘、古月、下槐、小觉、岗南、西大吾、杨家桥等乡镇，增强沿线城镇综合服务功能，带动沿线城乡融合发展。</w:t>
      </w:r>
    </w:p>
    <w:p w14:paraId="2F1AED21">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lang w:val="zh-CN"/>
        </w:rPr>
      </w:pPr>
      <w:r>
        <w:rPr>
          <w:rFonts w:hint="eastAsia" w:ascii="仿宋_GB2312"/>
          <w:color w:val="auto"/>
          <w:lang w:val="zh-CN"/>
        </w:rPr>
        <w:t>G207城乡融合发展轴以西柏坡镇为核心，南北向联系苏家庄、宅北、下槐、北冶、下口等乡镇，推动沿线乡镇特色化发展，实现经济发展和生态环境相协调，提升乡镇人居环境。</w:t>
      </w:r>
    </w:p>
    <w:p w14:paraId="3707E008">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13" w:name="_Toc225513255"/>
      <w:bookmarkStart w:id="314" w:name="_Toc216989075"/>
      <w:bookmarkStart w:id="315" w:name="_Toc217984304"/>
      <w:r>
        <w:rPr>
          <w:rFonts w:hint="eastAsia"/>
          <w:color w:val="auto"/>
        </w:rPr>
        <w:t>三、统筹“三区”：明确三大主体功能区发展导向</w:t>
      </w:r>
      <w:bookmarkEnd w:id="312"/>
      <w:bookmarkEnd w:id="313"/>
      <w:bookmarkEnd w:id="314"/>
      <w:bookmarkEnd w:id="315"/>
    </w:p>
    <w:p w14:paraId="442A72F7">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强化“三区”特色发展。西部为生态涵养保育区，以提升和优化生态功能为主，适度发展山地生态农业；中部为环湖旅游发展区，在做好水源涵养保护的前提下优化旅游产业布局、发展休闲观光农业；东部为平原现代农业区，以农业生产为主，优先保障粮食安全。</w:t>
      </w:r>
    </w:p>
    <w:p w14:paraId="2B894253">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16" w:name="_Toc216989076"/>
      <w:bookmarkStart w:id="317" w:name="_Toc217984305"/>
      <w:bookmarkStart w:id="318" w:name="_Toc211252011"/>
      <w:bookmarkStart w:id="319" w:name="_Toc225513256"/>
      <w:r>
        <w:rPr>
          <w:rFonts w:hint="eastAsia"/>
          <w:color w:val="auto"/>
        </w:rPr>
        <w:t>四、赋能“多组团”：构建特色鲜明的功能组团</w:t>
      </w:r>
      <w:bookmarkEnd w:id="316"/>
      <w:bookmarkEnd w:id="317"/>
      <w:bookmarkEnd w:id="318"/>
      <w:bookmarkEnd w:id="319"/>
    </w:p>
    <w:p w14:paraId="4BC246C3">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在“三区”框架下，培育多个具有专业化功能和辐射带动能力的特色组团。</w:t>
      </w:r>
    </w:p>
    <w:p w14:paraId="77219428">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西柏坡红色文旅核心组团：</w:t>
      </w:r>
      <w:r>
        <w:rPr>
          <w:rFonts w:hint="eastAsia" w:ascii="仿宋_GB2312" w:hAnsi="仿宋"/>
          <w:color w:val="auto"/>
        </w:rPr>
        <w:t>以西柏坡镇为中心，整合中共中央旧址、纪念馆、国家安全教育馆等资源，建设“数字革命史馆”和“云上西柏坡”平台，打造全国红色旅游高地。联动北庄村、李家庄村等发展“红色民宿集群”，形成集教育、研学、体验、消费于一体的综合功能区。</w:t>
      </w:r>
    </w:p>
    <w:p w14:paraId="5E3DC34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驼梁和天桂山生态旅游组团：</w:t>
      </w:r>
      <w:r>
        <w:rPr>
          <w:rFonts w:hint="eastAsia" w:ascii="仿宋_GB2312" w:hAnsi="仿宋"/>
          <w:color w:val="auto"/>
        </w:rPr>
        <w:t>以两大4A级景区为核心，完善登山步道、观景平台、智慧导览等设施，开发生态研学、森林康养、避暑度假产品，强化与石家庄及京津市场的快速交通连接，成为县域重要的生态旅游增长极。</w:t>
      </w:r>
    </w:p>
    <w:p w14:paraId="02789738">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县城综合服务组团：</w:t>
      </w:r>
      <w:r>
        <w:rPr>
          <w:rFonts w:hint="eastAsia" w:ascii="仿宋_GB2312" w:hAnsi="仿宋"/>
          <w:color w:val="auto"/>
        </w:rPr>
        <w:t>作为县域政治、经济、文化中心，重点提升综合服务能力，完善便民市场、停车场、充电桩等生活配套设施，建设宜居宜业的现代化县城，加快推进冶河南岸新区建设，布局文化中心、体育中心、医院和优质中小学。</w:t>
      </w:r>
    </w:p>
    <w:bookmarkEnd w:id="302"/>
    <w:bookmarkEnd w:id="303"/>
    <w:p w14:paraId="674DE375">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20" w:name="_Toc216989077"/>
      <w:bookmarkStart w:id="321" w:name="_Toc217984306"/>
      <w:bookmarkStart w:id="322" w:name="_Toc225513257"/>
      <w:r>
        <w:rPr>
          <w:rFonts w:hint="eastAsia"/>
          <w:color w:val="auto"/>
        </w:rPr>
        <w:t>第二章 建设彰显平山特色的高品质县城</w:t>
      </w:r>
      <w:bookmarkEnd w:id="320"/>
      <w:bookmarkEnd w:id="321"/>
      <w:bookmarkEnd w:id="322"/>
    </w:p>
    <w:p w14:paraId="321BEE7A">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紧扣“红色基因传承、生态宜居建设”核心导向，以城市更新为抓手、品质提升为目标、精细治理为保障，建设</w:t>
      </w:r>
      <w:r>
        <w:rPr>
          <w:rFonts w:ascii="仿宋_GB2312" w:hAnsi="仿宋"/>
          <w:color w:val="auto"/>
        </w:rPr>
        <w:t>创新、宜居、美丽、韧性、文明、智慧的现代化人民城市</w:t>
      </w:r>
      <w:r>
        <w:rPr>
          <w:rFonts w:hint="eastAsia" w:ascii="仿宋_GB2312" w:hAnsi="仿宋"/>
          <w:color w:val="auto"/>
        </w:rPr>
        <w:t>，打造兼具革命老区底蕴、太行山水特色、现代生活质感的美丽县城。</w:t>
      </w:r>
    </w:p>
    <w:p w14:paraId="7498892C">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23" w:name="_Toc217984307"/>
      <w:bookmarkStart w:id="324" w:name="_Toc216989078"/>
      <w:bookmarkStart w:id="325" w:name="_Toc225513258"/>
      <w:r>
        <w:rPr>
          <w:rFonts w:hint="eastAsia"/>
          <w:color w:val="auto"/>
        </w:rPr>
        <w:t>一、加快县城更新</w:t>
      </w:r>
      <w:bookmarkEnd w:id="323"/>
      <w:bookmarkEnd w:id="324"/>
      <w:bookmarkEnd w:id="325"/>
    </w:p>
    <w:p w14:paraId="1AD3486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 w:hAnsi="仿宋"/>
          <w:color w:val="auto"/>
        </w:rPr>
      </w:pPr>
      <w:r>
        <w:rPr>
          <w:rFonts w:hint="eastAsia" w:ascii="仿宋_GB2312" w:hAnsi="仿宋"/>
          <w:color w:val="auto"/>
        </w:rPr>
        <w:t>探索符合平山实际的可持续更新模式，科学布局生态、生产、生活空间，高质量统筹城区更新改造和冶河南岸片区建设，谋划实施国道G338海天线平山县绕城公路等道路工程，拉开县城整体框架。持续完善城区基础设施和公共服务设施，稳步推进城中村改造、老旧小区改造，开展完整社区建设，</w:t>
      </w:r>
      <w:r>
        <w:rPr>
          <w:rFonts w:ascii="Times New Roman" w:hAnsi="Times New Roman" w:cs="Times New Roman"/>
          <w:color w:val="auto"/>
        </w:rPr>
        <w:t>建设好房子、好小区、好社区、好城区</w:t>
      </w:r>
      <w:r>
        <w:rPr>
          <w:rFonts w:hint="eastAsia" w:ascii="Times New Roman" w:hAnsi="Times New Roman" w:cs="Times New Roman"/>
          <w:color w:val="auto"/>
        </w:rPr>
        <w:t>。加快推进图书馆、体育馆、展览馆、美术馆和群众活动中心建设，逐步完善县城功能。</w:t>
      </w:r>
      <w:r>
        <w:rPr>
          <w:rFonts w:hint="eastAsia" w:ascii="仿宋" w:hAnsi="仿宋"/>
          <w:color w:val="auto"/>
        </w:rPr>
        <w:t>推进基础设施韧性改造，提升雨水吸纳与蓄滞能力。</w:t>
      </w:r>
    </w:p>
    <w:p w14:paraId="368E9015">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26" w:name="_Toc216989079"/>
      <w:bookmarkStart w:id="327" w:name="_Toc225513259"/>
      <w:bookmarkStart w:id="328" w:name="_Toc217984308"/>
      <w:r>
        <w:rPr>
          <w:rFonts w:hint="eastAsia"/>
          <w:color w:val="auto"/>
        </w:rPr>
        <w:t>二、提升县城品质</w:t>
      </w:r>
      <w:bookmarkEnd w:id="326"/>
      <w:bookmarkEnd w:id="327"/>
      <w:bookmarkEnd w:id="328"/>
    </w:p>
    <w:p w14:paraId="163A5398">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将红色文化、历史文化、特色民俗文化等融入县城建设，在县城核心区域、主要街道、公园广场等节点，增加红色文化元素，让红色基因可视化、可感知。沿冶河打造滨水休闲带，推进两岸小区、广场、公园、游园等品质提升，加强对园林绿地、县城水系等管理维护，打造“城市客厅”。强化县城风貌管控，加强主街主路、小街小巷管理改造，科学保留历史肌理，规范建筑风格，避免千城一面。</w:t>
      </w:r>
    </w:p>
    <w:p w14:paraId="56A59927">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29" w:name="_Toc216989080"/>
      <w:bookmarkStart w:id="330" w:name="_Toc225513260"/>
      <w:bookmarkStart w:id="331" w:name="_Toc217984309"/>
      <w:r>
        <w:rPr>
          <w:rFonts w:hint="eastAsia"/>
          <w:color w:val="auto"/>
        </w:rPr>
        <w:t>三、强化精细治理</w:t>
      </w:r>
      <w:bookmarkEnd w:id="329"/>
      <w:bookmarkEnd w:id="330"/>
      <w:bookmarkEnd w:id="331"/>
    </w:p>
    <w:p w14:paraId="29F14A1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bookmarkStart w:id="332" w:name="OLE_LINK2"/>
      <w:r>
        <w:rPr>
          <w:rFonts w:hint="eastAsia" w:ascii="仿宋_GB2312" w:hAnsi="仿宋"/>
          <w:color w:val="auto"/>
        </w:rPr>
        <w:t>以数字化、智能化为核心，丰富拓展多领域、多行业的县城管理智能应用场景，持续推进电动自行车综合治理，提升城市供热、燃气、供水、排水、污水处理、垃圾处理等行业规范化、便民化管理水平，提升物业服务水平和质量，健全物业服务监管机制，推动物业服务标准化、精细化发展，严格规范公正文明执法，加快构建县城“共建共治共享”基层治理体系。聚焦“一老一小”等重点群体，完善普惠性、基础性、兜底性便民服务体系，推动优质服务资源延伸下沉，构建更高品质的“一刻钟便民生活圈”。深化全国文明城市创建成果，持续提升县城文明建设水平。</w:t>
      </w:r>
    </w:p>
    <w:bookmarkEnd w:id="332"/>
    <w:p w14:paraId="28B3C419">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33" w:name="_Toc217984310"/>
      <w:bookmarkStart w:id="334" w:name="_Toc225513261"/>
      <w:bookmarkStart w:id="335" w:name="_Toc216989081"/>
      <w:bookmarkStart w:id="336" w:name="_Toc211251994"/>
      <w:r>
        <w:rPr>
          <w:rFonts w:hint="eastAsia"/>
          <w:color w:val="auto"/>
        </w:rPr>
        <w:t>第三章 推进以人为本的新型城镇化建设</w:t>
      </w:r>
      <w:bookmarkEnd w:id="333"/>
      <w:bookmarkEnd w:id="334"/>
      <w:bookmarkEnd w:id="335"/>
    </w:p>
    <w:p w14:paraId="1376BCF7">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坚持以人为核心，面向中国式现代化进程需求，推动城镇功能提质、要素流动畅通、城乡联动发展，强化城镇对乡村的辐射带动作用，推动城镇化健康、高效、可持续发展。</w:t>
      </w:r>
    </w:p>
    <w:p w14:paraId="4D3C06F4">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37" w:name="_Toc225513262"/>
      <w:bookmarkStart w:id="338" w:name="_Toc216989083"/>
      <w:bookmarkStart w:id="339" w:name="_Toc217984312"/>
      <w:r>
        <w:rPr>
          <w:rFonts w:hint="eastAsia"/>
          <w:color w:val="auto"/>
        </w:rPr>
        <w:t>一、推进农业转移人口市民化</w:t>
      </w:r>
      <w:bookmarkEnd w:id="337"/>
      <w:bookmarkEnd w:id="338"/>
      <w:bookmarkEnd w:id="339"/>
    </w:p>
    <w:p w14:paraId="12E39376">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健全农业转移人口市民化机制，落实“零门槛”落户政策，简化落户流程，鼓励农业转移人口在县城或重点镇稳定就业创业。完善公共服务均等化机制，将农业转移人口纳入城镇教育、医疗、养老、就业等保障体系，拓宽住房保障渠道，保障本人及随迁子女权益。依法维护进城落户农民土地承包权、宅基地使用权、集体收益分配权，实现“进可城、退可乡”。</w:t>
      </w:r>
    </w:p>
    <w:p w14:paraId="3F9CE105">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40" w:name="_Toc225513263"/>
      <w:bookmarkStart w:id="341" w:name="_Toc211252001"/>
      <w:bookmarkStart w:id="342" w:name="_Toc217984313"/>
      <w:bookmarkStart w:id="343" w:name="_Toc216989084"/>
      <w:r>
        <w:rPr>
          <w:rFonts w:hint="eastAsia"/>
          <w:color w:val="auto"/>
        </w:rPr>
        <w:t>二、畅通城乡要素双向流动</w:t>
      </w:r>
      <w:bookmarkEnd w:id="340"/>
    </w:p>
    <w:p w14:paraId="00715DC7">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建立健全城乡人口交流机制，实施城乡人才交流计划，有序引导大学毕业生、优秀农民工、企业家、退休专业技术人员入乡返乡，鼓励农村集体经济组织探索人才加入机制。深入实施县域土地综合整治，稳慎推进农村集体经营性建设用地入市，促进农村闲置住房盘活利用，落实土地增值分配机制，构建城乡统一的建设用地市场。创新城乡金融服务模式，发展农村普惠金融，引导社会资本参与乡村建设。</w:t>
      </w:r>
    </w:p>
    <w:p w14:paraId="1827506B">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44" w:name="_Toc211252002"/>
      <w:bookmarkStart w:id="345" w:name="_Toc217984314"/>
      <w:bookmarkStart w:id="346" w:name="_Toc216989085"/>
      <w:bookmarkStart w:id="347" w:name="_Toc225513264"/>
      <w:r>
        <w:rPr>
          <w:rFonts w:hint="eastAsia"/>
          <w:color w:val="auto"/>
        </w:rPr>
        <w:t>三、</w:t>
      </w:r>
      <w:bookmarkEnd w:id="344"/>
      <w:r>
        <w:rPr>
          <w:rFonts w:hint="eastAsia"/>
          <w:color w:val="auto"/>
        </w:rPr>
        <w:t>推进城乡基础设施一体化</w:t>
      </w:r>
      <w:bookmarkEnd w:id="345"/>
      <w:bookmarkEnd w:id="346"/>
      <w:r>
        <w:rPr>
          <w:rFonts w:hint="eastAsia"/>
          <w:color w:val="auto"/>
        </w:rPr>
        <w:t>和公共服务均等化</w:t>
      </w:r>
      <w:bookmarkEnd w:id="347"/>
    </w:p>
    <w:p w14:paraId="3744EA6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围绕城乡治理需求，统筹推进城乡交通、供水、供电、供气、通信等设施建设，建立健全城乡基础设施共建共享和长效管护机制。统筹安排城乡教育、医疗、养老、文化等公共服务资源，推动优质公共服务资源向乡村延伸，缩小城乡差距，实现均衡配置，让城乡居民共享改革发展成果。</w:t>
      </w:r>
    </w:p>
    <w:bookmarkEnd w:id="336"/>
    <w:bookmarkEnd w:id="341"/>
    <w:bookmarkEnd w:id="342"/>
    <w:bookmarkEnd w:id="343"/>
    <w:p w14:paraId="69E0FBA5">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48" w:name="_Toc217984316"/>
      <w:bookmarkStart w:id="349" w:name="_Toc216989087"/>
      <w:bookmarkStart w:id="350" w:name="_Toc225513265"/>
      <w:r>
        <w:rPr>
          <w:rFonts w:hint="eastAsia"/>
          <w:color w:val="auto"/>
        </w:rPr>
        <w:t>第四章 借势</w:t>
      </w:r>
      <w:bookmarkEnd w:id="348"/>
      <w:bookmarkEnd w:id="349"/>
      <w:r>
        <w:rPr>
          <w:rFonts w:hint="eastAsia"/>
          <w:color w:val="auto"/>
        </w:rPr>
        <w:t>区域战略融入省会发展</w:t>
      </w:r>
      <w:bookmarkEnd w:id="350"/>
    </w:p>
    <w:p w14:paraId="7722CE17">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主动对接京津冀协同发展、石家庄都市圈建设等区域战略，加强生态共建、产业协作、交通互联，借势区域发展赋能城乡融合，打造区域协同发展的重要节点。</w:t>
      </w:r>
    </w:p>
    <w:p w14:paraId="0D4950CE">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51" w:name="_Toc211252004"/>
      <w:bookmarkStart w:id="352" w:name="_Toc217984317"/>
      <w:bookmarkStart w:id="353" w:name="_Toc216989088"/>
      <w:bookmarkStart w:id="354" w:name="_Toc225513266"/>
      <w:r>
        <w:rPr>
          <w:rFonts w:hint="eastAsia"/>
          <w:color w:val="auto"/>
        </w:rPr>
        <w:t>一、深化生态共建共享</w:t>
      </w:r>
      <w:bookmarkEnd w:id="351"/>
      <w:bookmarkEnd w:id="352"/>
      <w:bookmarkEnd w:id="353"/>
      <w:bookmarkEnd w:id="354"/>
    </w:p>
    <w:p w14:paraId="50AD9978">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加强与周边地区生态联防联治，筑牢京津冀生态安全屏障。深化大气污染联防联控，建立完善区域空气质量预警联动机制；联合开展流域综合治理，探索建立跨区域生态补偿机制；积极参与京津冀生态廊道建设，打造省会“后花园”。</w:t>
      </w:r>
    </w:p>
    <w:p w14:paraId="2EE577FF">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55" w:name="_Toc217984318"/>
      <w:bookmarkStart w:id="356" w:name="_Toc225513267"/>
      <w:bookmarkStart w:id="357" w:name="_Toc211252005"/>
      <w:bookmarkStart w:id="358" w:name="_Toc216989089"/>
      <w:r>
        <w:rPr>
          <w:rFonts w:hint="eastAsia"/>
          <w:color w:val="auto"/>
        </w:rPr>
        <w:t>二、推动产业协同发展</w:t>
      </w:r>
      <w:bookmarkEnd w:id="355"/>
      <w:bookmarkEnd w:id="356"/>
      <w:bookmarkEnd w:id="357"/>
      <w:bookmarkEnd w:id="358"/>
    </w:p>
    <w:p w14:paraId="34393E97">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主动承接北京非首都功能疏解，加强与京津冀等地产业协作，共建创新联合体与产业合作平台，争取引进一批优质项目、科研成果和央企二三级子公司。深化与周边地区产业协同，推动产业链上下游联动，实现区域产业优势互补、共同发展。</w:t>
      </w:r>
    </w:p>
    <w:p w14:paraId="1322EF3D">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59" w:name="_Toc211252006"/>
      <w:bookmarkStart w:id="360" w:name="_Toc217984319"/>
      <w:bookmarkStart w:id="361" w:name="_Toc216989090"/>
      <w:bookmarkStart w:id="362" w:name="_Toc225513268"/>
      <w:r>
        <w:rPr>
          <w:rFonts w:hint="eastAsia"/>
          <w:color w:val="auto"/>
        </w:rPr>
        <w:t>三、加强交通互联互通</w:t>
      </w:r>
      <w:bookmarkEnd w:id="359"/>
      <w:bookmarkEnd w:id="360"/>
      <w:bookmarkEnd w:id="361"/>
      <w:bookmarkEnd w:id="362"/>
    </w:p>
    <w:p w14:paraId="3E40BC78">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优化现有公路网络，提升道路等级，推进跨区域交通通道建设。强化与省会石家庄的交通联系，加密城乡公交线路，促进重点景区、重点乡镇与干线公路相互衔接，为城乡融合提供交通支撑。</w:t>
      </w:r>
    </w:p>
    <w:p w14:paraId="548B221B">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63" w:name="_Toc225513269"/>
      <w:bookmarkStart w:id="364" w:name="OLE_LINK17"/>
      <w:r>
        <w:rPr>
          <w:rFonts w:hint="eastAsia"/>
          <w:color w:val="auto"/>
        </w:rPr>
        <w:t>第五章 以乡镇组团构建差异化发展空间格局</w:t>
      </w:r>
      <w:bookmarkEnd w:id="363"/>
    </w:p>
    <w:bookmarkEnd w:id="364"/>
    <w:p w14:paraId="78A84FD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坚持因地制宜，以资源禀赋为基础、产业关联为纽带、区位协同为支撑，优化乡镇功能定位与空间组合，形成“核心引领、组团联动、全域协同”的差异化发展格局。</w:t>
      </w:r>
    </w:p>
    <w:p w14:paraId="6C0B790A">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65" w:name="_Toc225513270"/>
      <w:r>
        <w:rPr>
          <w:rFonts w:hint="eastAsia"/>
          <w:color w:val="auto"/>
        </w:rPr>
        <w:t>一、红色文旅核心组团</w:t>
      </w:r>
      <w:bookmarkEnd w:id="365"/>
    </w:p>
    <w:p w14:paraId="0F2F6CB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包括西柏坡镇、岗南镇、下槐镇、上三汲乡、宅北乡、苏家庄乡。以红色基因传承为核心，打造全国文旅“红色+”融合发展标杆。西柏坡镇活化红色遗存，打造“红色+研学”核心区；岗南镇串联红色研学与绿色采摘，打造“红色+休闲”体验区；下槐镇依托良好生态资源，联动军事体验馆，完善“红色+生态+国防教育”新业态；上三汲乡通过滹沱河景观大道联通西柏坡，发挥中山古城国家考古遗址公园优势，发展“红色+历史”文化游。宅北乡、苏家庄乡承接西柏坡镇、岗南镇客流外溢，发展红色文旅配套服务产业。</w:t>
      </w:r>
    </w:p>
    <w:p w14:paraId="296B9575">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66" w:name="_Toc225513271"/>
      <w:r>
        <w:rPr>
          <w:rFonts w:hint="eastAsia"/>
          <w:color w:val="auto"/>
        </w:rPr>
        <w:t>二、生态康养度假组团</w:t>
      </w:r>
      <w:bookmarkEnd w:id="366"/>
    </w:p>
    <w:p w14:paraId="1F517A9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包括温塘镇、合河口乡、蛟潭庄镇、孟家庄镇、营里乡、上观音堂乡。以生态保护与康养业态创新为核心，建设京津冀高端休闲目的地。温塘镇做强温泉IP，拓展康养休闲业态；蛟潭庄镇依托写生基地，深化产学研合作，发展生态康养与药旅融合业态；合河口乡依托驼梁景区，孟家庄镇、营里乡、上观音堂乡依托高海拔优势，推动“避暑+康养”一体化发展。</w:t>
      </w:r>
    </w:p>
    <w:p w14:paraId="13D847C6">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67" w:name="_Toc225513272"/>
      <w:r>
        <w:rPr>
          <w:rFonts w:hint="eastAsia"/>
          <w:color w:val="auto"/>
        </w:rPr>
        <w:t>三、特色农业集聚组团</w:t>
      </w:r>
      <w:bookmarkEnd w:id="367"/>
    </w:p>
    <w:p w14:paraId="6B463FC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包括北冶乡、东王坡乡、杨家桥乡、小觉镇、古月镇、两河乡、下口镇。以规模化种植与产业链延伸为核心，做强农业特色产业。北冶乡做强</w:t>
      </w:r>
      <w:r>
        <w:rPr>
          <w:rFonts w:hint="eastAsia" w:ascii="仿宋_GB2312" w:hAnsi="仿宋_GB2312" w:cs="仿宋_GB2312"/>
          <w:color w:val="auto"/>
          <w:szCs w:val="32"/>
        </w:rPr>
        <w:t>恶石苹果、北冶冷水鱼、</w:t>
      </w:r>
      <w:r>
        <w:rPr>
          <w:rFonts w:hint="eastAsia" w:ascii="仿宋_GB2312" w:hAnsi="仿宋"/>
          <w:color w:val="auto"/>
        </w:rPr>
        <w:t>太行鸡等品牌；古月镇打造古月豆腐核心产区和特色种养集聚区；东王坡乡依托黄金寨、王母山等景区，巩固山地苹果、寿桃等林果产业，推进农旅融合；杨家桥乡持续做强黄花菜、黑山羊等特色产业；小觉镇壮大连翘与苹果产业；两河乡发展生态农业与观光体验业态。</w:t>
      </w:r>
    </w:p>
    <w:p w14:paraId="0108E499">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368" w:name="_Toc225513273"/>
      <w:r>
        <w:rPr>
          <w:rFonts w:hint="eastAsia"/>
          <w:color w:val="auto"/>
        </w:rPr>
        <w:t>四、工业转型与城乡融合组团</w:t>
      </w:r>
      <w:bookmarkEnd w:id="368"/>
    </w:p>
    <w:p w14:paraId="4D36837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包括平山镇、南甸镇、西大吾乡、东回舍镇。以产业转型升级和城乡一体化发展为核心，做强县域经济增长极。平山镇强化县域核心功能，推动产城融合发展；南甸镇推动钢铁产业升级；西大吾乡、东回舍镇依托交通优势，打造物流节点，强化区域协同。</w:t>
      </w:r>
    </w:p>
    <w:p w14:paraId="69FBA98B">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tbl>
      <w:tblPr>
        <w:tblStyle w:val="32"/>
        <w:tblW w:w="85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73"/>
      </w:tblGrid>
      <w:tr w14:paraId="76A66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73" w:type="dxa"/>
          </w:tcPr>
          <w:p w14:paraId="3F5D794B">
            <w:pPr>
              <w:ind w:firstLine="0" w:firstLineChars="0"/>
              <w:jc w:val="center"/>
              <w:rPr>
                <w:rFonts w:hint="eastAsia" w:ascii="宋体" w:hAnsi="宋体" w:eastAsia="宋体"/>
                <w:b/>
                <w:bCs/>
                <w:color w:val="auto"/>
                <w:kern w:val="0"/>
                <w:sz w:val="24"/>
                <w:szCs w:val="24"/>
              </w:rPr>
            </w:pPr>
            <w:r>
              <w:rPr>
                <w:rFonts w:hint="eastAsia" w:ascii="宋体" w:hAnsi="宋体" w:eastAsia="宋体"/>
                <w:b/>
                <w:bCs/>
                <w:color w:val="auto"/>
                <w:kern w:val="0"/>
                <w:sz w:val="24"/>
                <w:szCs w:val="24"/>
              </w:rPr>
              <w:t>专栏5：城乡融合领域</w:t>
            </w:r>
          </w:p>
          <w:p w14:paraId="0002FF20">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1.交通轴带串联：</w:t>
            </w:r>
            <w:r>
              <w:rPr>
                <w:rFonts w:hint="eastAsia" w:ascii="宋体" w:hAnsi="宋体" w:eastAsia="宋体"/>
                <w:color w:val="auto"/>
                <w:kern w:val="0"/>
                <w:sz w:val="24"/>
                <w:szCs w:val="24"/>
              </w:rPr>
              <w:t>推进重大交通项目进度，优化农村公路网络，维修加固桥梁，构建“两环三横六纵”交通网络，实现重点区域快速联通。</w:t>
            </w:r>
          </w:p>
          <w:p w14:paraId="0E02300A">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2.城镇功能提升：</w:t>
            </w:r>
            <w:r>
              <w:rPr>
                <w:rFonts w:hint="eastAsia" w:ascii="宋体" w:hAnsi="宋体" w:eastAsia="宋体"/>
                <w:color w:val="auto"/>
                <w:kern w:val="0"/>
                <w:sz w:val="24"/>
                <w:szCs w:val="24"/>
              </w:rPr>
              <w:t>推进冶河南岸新区开发、老旧小区改造与城区有机更新，完善公共服务设施。</w:t>
            </w:r>
          </w:p>
          <w:p w14:paraId="04F9B911">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4.乡村功能提升：</w:t>
            </w:r>
            <w:r>
              <w:rPr>
                <w:rFonts w:hint="eastAsia" w:ascii="宋体" w:hAnsi="宋体" w:eastAsia="宋体"/>
                <w:color w:val="auto"/>
                <w:kern w:val="0"/>
                <w:sz w:val="24"/>
                <w:szCs w:val="24"/>
              </w:rPr>
              <w:t>通过乡村道路硬化、河道整治、管网改造、人居环境整治等，全面改善乡村生活居住环境。</w:t>
            </w:r>
          </w:p>
          <w:p w14:paraId="7B3D82C6">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5.城乡要素流动机制：</w:t>
            </w:r>
            <w:r>
              <w:rPr>
                <w:rFonts w:hint="eastAsia" w:ascii="宋体" w:hAnsi="宋体" w:eastAsia="宋体"/>
                <w:color w:val="auto"/>
                <w:kern w:val="0"/>
                <w:sz w:val="24"/>
                <w:szCs w:val="24"/>
              </w:rPr>
              <w:t>稳妥推进农村集体经营性建设用地入市，建立健全城乡人才双向流动机制。</w:t>
            </w:r>
          </w:p>
          <w:p w14:paraId="01CED3F7">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6.专业化功能镇培育：</w:t>
            </w:r>
            <w:r>
              <w:rPr>
                <w:rFonts w:hint="eastAsia" w:ascii="宋体" w:hAnsi="宋体" w:eastAsia="宋体"/>
                <w:color w:val="auto"/>
                <w:kern w:val="0"/>
                <w:sz w:val="24"/>
                <w:szCs w:val="24"/>
              </w:rPr>
              <w:t>推动特色乡镇组团，完善基础设施与公共服务设施，强化乡镇对村庄的辐射带动作用。</w:t>
            </w:r>
          </w:p>
        </w:tc>
      </w:tr>
    </w:tbl>
    <w:p w14:paraId="68DD58E4">
      <w:pPr>
        <w:widowControl/>
        <w:spacing w:line="240" w:lineRule="auto"/>
        <w:ind w:firstLine="0" w:firstLineChars="0"/>
        <w:jc w:val="left"/>
        <w:rPr>
          <w:rFonts w:hint="eastAsia" w:eastAsia="黑体"/>
          <w:b/>
          <w:bCs/>
          <w:color w:val="auto"/>
          <w:kern w:val="44"/>
          <w:szCs w:val="44"/>
        </w:rPr>
      </w:pPr>
      <w:r>
        <w:rPr>
          <w:rFonts w:hint="eastAsia"/>
          <w:color w:val="auto"/>
        </w:rPr>
        <w:br w:type="page"/>
      </w:r>
    </w:p>
    <w:p w14:paraId="0EA80703">
      <w:pPr>
        <w:pStyle w:val="2"/>
        <w:pageBreakBefore w:val="0"/>
        <w:kinsoku/>
        <w:wordWrap/>
        <w:overflowPunct/>
        <w:topLinePunct w:val="0"/>
        <w:autoSpaceDE/>
        <w:autoSpaceDN/>
        <w:bidi w:val="0"/>
        <w:adjustRightInd/>
        <w:snapToGrid/>
        <w:spacing w:line="580" w:lineRule="exact"/>
        <w:ind w:firstLine="643"/>
        <w:textAlignment w:val="auto"/>
        <w:rPr>
          <w:rFonts w:hint="eastAsia"/>
          <w:color w:val="auto"/>
        </w:rPr>
      </w:pPr>
      <w:bookmarkStart w:id="369" w:name="_Toc216989091"/>
      <w:bookmarkStart w:id="370" w:name="_Toc217984320"/>
      <w:bookmarkStart w:id="371" w:name="_Toc225513274"/>
      <w:r>
        <w:rPr>
          <w:rFonts w:hint="eastAsia"/>
          <w:color w:val="auto"/>
        </w:rPr>
        <w:t xml:space="preserve">第七篇 </w:t>
      </w:r>
      <w:bookmarkEnd w:id="243"/>
      <w:bookmarkEnd w:id="244"/>
      <w:bookmarkEnd w:id="369"/>
      <w:r>
        <w:rPr>
          <w:rFonts w:hint="eastAsia" w:ascii="黑体" w:hAnsi="黑体" w:cs="黑体"/>
          <w:color w:val="auto"/>
          <w:szCs w:val="32"/>
        </w:rPr>
        <w:t>加快农业农村现代化，扎实推进乡村全面振兴</w:t>
      </w:r>
      <w:bookmarkEnd w:id="370"/>
      <w:bookmarkEnd w:id="371"/>
    </w:p>
    <w:p w14:paraId="5F21ABF2">
      <w:pPr>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372" w:name="_Toc211252031"/>
      <w:bookmarkStart w:id="373" w:name="_Toc216989092"/>
      <w:r>
        <w:rPr>
          <w:rFonts w:hint="eastAsia"/>
          <w:color w:val="auto"/>
        </w:rPr>
        <w:t>全面落实党的二十届四中全会关于“加快农业农村现代化”战略部署，坚持农业农村优先发展，守住粮食安全和不发生规模性返贫致贫底线，提升乡村产业发展水平，加快推进和美乡村建设，开创乡村全面振兴新局面。</w:t>
      </w:r>
    </w:p>
    <w:p w14:paraId="29CE430C">
      <w:pPr>
        <w:pStyle w:val="3"/>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374" w:name="_Toc225513275"/>
      <w:bookmarkStart w:id="375" w:name="_Toc217984321"/>
      <w:r>
        <w:rPr>
          <w:rFonts w:hint="eastAsia"/>
          <w:color w:val="auto"/>
        </w:rPr>
        <w:t>第一章</w:t>
      </w:r>
      <w:bookmarkEnd w:id="372"/>
      <w:r>
        <w:rPr>
          <w:rFonts w:hint="eastAsia"/>
          <w:color w:val="auto"/>
        </w:rPr>
        <w:t xml:space="preserve"> 加快农业现代化</w:t>
      </w:r>
      <w:bookmarkEnd w:id="373"/>
      <w:bookmarkEnd w:id="374"/>
      <w:bookmarkEnd w:id="375"/>
    </w:p>
    <w:p w14:paraId="68EEFEEB">
      <w:pPr>
        <w:pStyle w:val="4"/>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376" w:name="_Toc216989093"/>
      <w:bookmarkStart w:id="377" w:name="_Toc217984322"/>
      <w:bookmarkStart w:id="378" w:name="_Toc225513276"/>
      <w:bookmarkStart w:id="379" w:name="OLE_LINK18"/>
      <w:bookmarkStart w:id="380" w:name="_Toc211252032"/>
      <w:r>
        <w:rPr>
          <w:rFonts w:hint="eastAsia"/>
          <w:color w:val="auto"/>
        </w:rPr>
        <w:t>一、</w:t>
      </w:r>
      <w:bookmarkEnd w:id="376"/>
      <w:bookmarkEnd w:id="377"/>
      <w:r>
        <w:rPr>
          <w:rFonts w:hint="eastAsia"/>
          <w:color w:val="auto"/>
        </w:rPr>
        <w:t>提升农业综合生产能力</w:t>
      </w:r>
      <w:bookmarkEnd w:id="378"/>
    </w:p>
    <w:bookmarkEnd w:id="379"/>
    <w:p w14:paraId="33B67C3A">
      <w:pPr>
        <w:pageBreakBefore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深入实施“藏粮于地、藏粮于技”战略，促进良田良种良机良法集成增效。推进高标准农田建设、农田水利设施改造提升，发展农业适度规模经营，完善农业社会化服务体系，不断稳面积、提单产、增总产，增强粮食和重要农产品稳产保供能力。到“十五五”末，全县粮食播种面积稳定在35万亩以上，粮食年产量2.42亿斤以上。</w:t>
      </w:r>
    </w:p>
    <w:p w14:paraId="7AC88466">
      <w:pPr>
        <w:pStyle w:val="4"/>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381" w:name="_Toc216989094"/>
      <w:bookmarkStart w:id="382" w:name="_Toc225513277"/>
      <w:bookmarkStart w:id="383" w:name="_Toc217984323"/>
      <w:r>
        <w:rPr>
          <w:rFonts w:hint="eastAsia"/>
          <w:color w:val="auto"/>
        </w:rPr>
        <w:t>二、</w:t>
      </w:r>
      <w:bookmarkEnd w:id="380"/>
      <w:bookmarkEnd w:id="381"/>
      <w:bookmarkStart w:id="384" w:name="OLE_LINK19"/>
      <w:r>
        <w:rPr>
          <w:rFonts w:hint="eastAsia" w:ascii="仿宋_GB2312" w:hAnsi="仿宋_GB2312" w:cs="仿宋_GB2312"/>
          <w:bCs/>
          <w:color w:val="auto"/>
        </w:rPr>
        <w:t>推动特色农业高质量发展</w:t>
      </w:r>
      <w:bookmarkEnd w:id="382"/>
      <w:bookmarkEnd w:id="383"/>
      <w:bookmarkEnd w:id="384"/>
    </w:p>
    <w:p w14:paraId="798C3A42">
      <w:pPr>
        <w:pageBreakBefore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_GB2312" w:cs="仿宋_GB2312"/>
          <w:color w:val="auto"/>
          <w:szCs w:val="32"/>
        </w:rPr>
        <w:t>深化与省农林科学院等高校和科研机构合作，</w:t>
      </w:r>
      <w:r>
        <w:rPr>
          <w:rFonts w:hint="eastAsia" w:ascii="仿宋_GB2312" w:hAnsi="仿宋"/>
          <w:color w:val="auto"/>
        </w:rPr>
        <w:t>发展山地苹果、道地中药材、高效设施农业、休闲农业、现代畜牧水产业。</w:t>
      </w:r>
    </w:p>
    <w:p w14:paraId="13A3E3E6">
      <w:pPr>
        <w:pageBreakBefore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山地苹果产业：</w:t>
      </w:r>
      <w:r>
        <w:rPr>
          <w:rFonts w:hint="eastAsia" w:ascii="仿宋_GB2312" w:hAnsi="仿宋_GB2312" w:cs="仿宋_GB2312"/>
          <w:color w:val="auto"/>
          <w:szCs w:val="32"/>
        </w:rPr>
        <w:t>以北冶、孟家庄、岗南3大规模化优质苹果片区为核心，向周边乡镇辐射发展，构建连片开发、规模经营、龙头带动、一二三产融合发展的苹果产业发展新格局。</w:t>
      </w:r>
    </w:p>
    <w:p w14:paraId="116AB404">
      <w:pPr>
        <w:pageBreakBefore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道地中药材产业：</w:t>
      </w:r>
      <w:r>
        <w:rPr>
          <w:rFonts w:hint="eastAsia" w:ascii="仿宋_GB2312" w:hAnsi="仿宋_GB2312" w:cs="仿宋_GB2312"/>
          <w:color w:val="auto"/>
          <w:szCs w:val="32"/>
        </w:rPr>
        <w:t>在巩固基础、提质增效和扩大规模上下功夫，提高岗南镇、古月镇、下槐镇等乡镇标准化生产水平，同时保护好道地中药材种质资源。用好山场和岗坡次地，推广中药材仿野生种植技术，发展林下中药材种植。</w:t>
      </w:r>
    </w:p>
    <w:p w14:paraId="4588BF8A">
      <w:pPr>
        <w:pageBreakBefore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高效设施农业：</w:t>
      </w:r>
      <w:r>
        <w:rPr>
          <w:rFonts w:hint="eastAsia" w:ascii="仿宋_GB2312" w:hAnsi="仿宋_GB2312" w:cs="仿宋_GB2312"/>
          <w:color w:val="auto"/>
          <w:szCs w:val="32"/>
        </w:rPr>
        <w:t>利用县域生态优势和区域优势，重点打造滹沱河观光采摘高端设施蔬菜区和高山冷凉错季越夏蔬菜区两大优势片区。食用菌产业以制菌中心为核心，打造深山优品生产区、浅山错季生产区和平原周年生产区，形成“一镇三区”的空间布局</w:t>
      </w:r>
      <w:r>
        <w:rPr>
          <w:rFonts w:hint="eastAsia" w:ascii="仿宋_GB2312" w:hAnsi="仿宋"/>
          <w:color w:val="auto"/>
        </w:rPr>
        <w:t>。</w:t>
      </w:r>
    </w:p>
    <w:p w14:paraId="2A28F2EA">
      <w:pPr>
        <w:pageBreakBefore w:val="0"/>
        <w:kinsoku/>
        <w:wordWrap/>
        <w:overflowPunct/>
        <w:topLinePunct w:val="0"/>
        <w:autoSpaceDE/>
        <w:autoSpaceDN/>
        <w:bidi w:val="0"/>
        <w:adjustRightInd/>
        <w:snapToGrid/>
        <w:spacing w:line="580" w:lineRule="exact"/>
        <w:ind w:firstLine="640"/>
        <w:textAlignment w:val="auto"/>
        <w:rPr>
          <w:rFonts w:hint="eastAsia" w:ascii="仿宋_GB2312" w:hAnsi="仿宋"/>
          <w:b/>
          <w:bCs/>
          <w:color w:val="auto"/>
        </w:rPr>
      </w:pPr>
      <w:r>
        <w:rPr>
          <w:rFonts w:hint="eastAsia" w:ascii="仿宋_GB2312" w:hAnsi="仿宋"/>
          <w:b/>
          <w:bCs/>
          <w:color w:val="auto"/>
        </w:rPr>
        <w:t>休闲农业：</w:t>
      </w:r>
      <w:r>
        <w:rPr>
          <w:rFonts w:hint="eastAsia" w:ascii="仿宋_GB2312" w:hAnsi="仿宋"/>
          <w:color w:val="auto"/>
        </w:rPr>
        <w:t>推动农文旅融合发展，开发农事体验、乡村康养、主题研学等相关产品，完善基础设施，培育经营主体，打造“平山田园”品牌，努力成为京津冀休闲农业精品目的地。</w:t>
      </w:r>
    </w:p>
    <w:p w14:paraId="7FFBD66B">
      <w:pPr>
        <w:pageBreakBefore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b/>
          <w:color w:val="auto"/>
        </w:rPr>
        <w:t>现代畜牧水产业：</w:t>
      </w:r>
      <w:r>
        <w:rPr>
          <w:rFonts w:hint="eastAsia"/>
          <w:color w:val="auto"/>
        </w:rPr>
        <w:t>实施畜牧水产提质增效工程，巩固提升蛋鸡、生猪、奶牛、肉牛、水产等五个传统产业，做优做强黑猪、黑山羊、太行鸡、蜜蜂和冷水鱼特色产业，建设一批标准化、智能化规模养殖场，提高现代化养殖水平。开展特色养殖、品牌培育、市场营销全产业链提升工程，形成现代化畜牧水产业发展格局。</w:t>
      </w:r>
    </w:p>
    <w:p w14:paraId="7B5DB7C9">
      <w:pPr>
        <w:pStyle w:val="4"/>
        <w:pageBreakBefore w:val="0"/>
        <w:kinsoku/>
        <w:wordWrap/>
        <w:overflowPunct/>
        <w:topLinePunct w:val="0"/>
        <w:autoSpaceDE/>
        <w:autoSpaceDN/>
        <w:bidi w:val="0"/>
        <w:adjustRightInd/>
        <w:snapToGrid/>
        <w:spacing w:line="580" w:lineRule="exact"/>
        <w:ind w:firstLine="640"/>
        <w:textAlignment w:val="auto"/>
        <w:rPr>
          <w:rFonts w:hint="eastAsia" w:ascii="楷体_GB2312" w:hAnsi="楷体_GB2312" w:eastAsia="楷体_GB2312" w:cs="楷体_GB2312"/>
          <w:color w:val="auto"/>
        </w:rPr>
      </w:pPr>
      <w:bookmarkStart w:id="385" w:name="_Toc225513278"/>
      <w:bookmarkStart w:id="386" w:name="_Toc217984324"/>
      <w:r>
        <w:rPr>
          <w:rFonts w:hint="eastAsia"/>
          <w:color w:val="auto"/>
        </w:rPr>
        <w:t>三、</w:t>
      </w:r>
      <w:bookmarkStart w:id="387" w:name="OLE_LINK20"/>
      <w:r>
        <w:rPr>
          <w:rFonts w:hint="eastAsia"/>
          <w:color w:val="auto"/>
        </w:rPr>
        <w:t>推动农业“接二连三”发展</w:t>
      </w:r>
      <w:bookmarkEnd w:id="385"/>
      <w:bookmarkEnd w:id="386"/>
      <w:bookmarkEnd w:id="387"/>
    </w:p>
    <w:p w14:paraId="55609008">
      <w:pPr>
        <w:pageBreakBefore w:val="0"/>
        <w:widowControl/>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楷体_GB2312" w:hAnsi="楷体_GB2312" w:eastAsia="楷体_GB2312" w:cs="楷体_GB2312"/>
          <w:b/>
          <w:bCs/>
          <w:color w:val="auto"/>
          <w:szCs w:val="32"/>
        </w:rPr>
        <w:t>做强农产品加工业。</w:t>
      </w:r>
      <w:r>
        <w:rPr>
          <w:rFonts w:hint="eastAsia" w:ascii="仿宋_GB2312" w:hAnsi="仿宋_GB2312" w:cs="仿宋_GB2312"/>
          <w:color w:val="auto"/>
          <w:szCs w:val="32"/>
        </w:rPr>
        <w:t>重点发展水果深加工（果汁、果脯、果干）、中药材初加工与提取、食用菌即食食品、牛羊畜禽屠宰深加工等业态，推动由卖原料向卖“制成品”转变。科学规划“农产品加工聚集区”，推动建设产地冷链仓储中心，让更多农产品进入京津冀大市场。</w:t>
      </w:r>
    </w:p>
    <w:p w14:paraId="7482600A">
      <w:pPr>
        <w:pageBreakBefore w:val="0"/>
        <w:widowControl/>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楷体_GB2312" w:hAnsi="楷体_GB2312" w:eastAsia="楷体_GB2312" w:cs="楷体_GB2312"/>
          <w:b/>
          <w:bCs/>
          <w:color w:val="auto"/>
          <w:szCs w:val="32"/>
        </w:rPr>
        <w:t>培育壮大农业品牌。</w:t>
      </w:r>
      <w:r>
        <w:rPr>
          <w:rFonts w:hint="eastAsia" w:ascii="仿宋_GB2312" w:hAnsi="仿宋_GB2312" w:cs="仿宋_GB2312"/>
          <w:color w:val="auto"/>
          <w:szCs w:val="32"/>
        </w:rPr>
        <w:t>实施“区域公用品牌+企业品牌+产品品牌”战略，持续叫响“平山苹果”“平山黑猪”等区域公用品牌，提升 “平山连翘”“平山粉条”等地理标志产品影响力。鼓励企业申报绿色食品、有机农产品认证，参与高端展销、产销对接活动。建设县级农产品电商直播中心，组建专业团队宣传推介，拓展“平山优礼”线上市场，讲好平山“土特产”故事。</w:t>
      </w:r>
    </w:p>
    <w:p w14:paraId="48AB575E">
      <w:pPr>
        <w:pageBreakBefore w:val="0"/>
        <w:widowControl/>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楷体_GB2312" w:hAnsi="楷体_GB2312" w:eastAsia="楷体_GB2312" w:cs="楷体_GB2312"/>
          <w:b/>
          <w:bCs/>
          <w:color w:val="auto"/>
          <w:szCs w:val="32"/>
        </w:rPr>
        <w:t>深化农文旅融合发展。</w:t>
      </w:r>
      <w:r>
        <w:rPr>
          <w:rFonts w:hint="eastAsia" w:ascii="仿宋_GB2312" w:hAnsi="仿宋_GB2312" w:cs="仿宋_GB2312"/>
          <w:color w:val="auto"/>
          <w:szCs w:val="32"/>
        </w:rPr>
        <w:t>积极探索农业与文旅产业深度融合发展路径，开发一批红色研学、农耕体验、生态康养、精品民宿等新业态，推出一批特色鲜明的休闲农业和乡村旅游精品线路，培育一批乡村旅游重点村和星级民宿，更好发挥关联带动作用。</w:t>
      </w:r>
    </w:p>
    <w:p w14:paraId="7043952D">
      <w:pPr>
        <w:pStyle w:val="4"/>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388" w:name="_Toc217984325"/>
      <w:bookmarkStart w:id="389" w:name="_Toc225513279"/>
      <w:r>
        <w:rPr>
          <w:rFonts w:hint="eastAsia"/>
          <w:color w:val="auto"/>
        </w:rPr>
        <w:t>四、</w:t>
      </w:r>
      <w:bookmarkEnd w:id="388"/>
      <w:bookmarkStart w:id="390" w:name="OLE_LINK21"/>
      <w:r>
        <w:rPr>
          <w:rFonts w:hint="eastAsia"/>
          <w:color w:val="auto"/>
        </w:rPr>
        <w:t>促进农村居民稳定增收</w:t>
      </w:r>
      <w:bookmarkEnd w:id="389"/>
    </w:p>
    <w:bookmarkEnd w:id="390"/>
    <w:p w14:paraId="6BBECBFE">
      <w:pPr>
        <w:pageBreakBefore w:val="0"/>
        <w:widowControl/>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健全乡村产业利益联结机制，完善“龙头企业+合作社+农户”“公司+农户”等模式，依托“六位一体、六统一分”等成熟经验加深探索，通过土地流转、订单生产、入股分红、服务协作、就业带动等方式，多渠道促进农民增收。支持农村集体经济组织发挥统一经营功能，探索多元化统一经营模式，盘活闲置资产资源，提升农村集体经济收入。同时，大力实施以工代赈，吸纳农村劳动力等重点群体参加工程建设。</w:t>
      </w:r>
    </w:p>
    <w:p w14:paraId="11A4B7CD">
      <w:pPr>
        <w:pStyle w:val="3"/>
        <w:pageBreakBefore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391" w:name="_Toc225513280"/>
      <w:bookmarkStart w:id="392" w:name="_Toc217984326"/>
      <w:bookmarkStart w:id="393" w:name="OLE_LINK22"/>
      <w:r>
        <w:rPr>
          <w:rFonts w:hint="eastAsia"/>
          <w:color w:val="auto"/>
        </w:rPr>
        <w:t>第二章 推进宜居宜业和美乡村建设</w:t>
      </w:r>
      <w:bookmarkEnd w:id="391"/>
      <w:bookmarkEnd w:id="392"/>
    </w:p>
    <w:bookmarkEnd w:id="393"/>
    <w:p w14:paraId="772BF5EE">
      <w:pPr>
        <w:pageBreakBefore w:val="0"/>
        <w:widowControl/>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bookmarkStart w:id="394" w:name="_Toc217984327"/>
      <w:bookmarkStart w:id="395" w:name="OLE_LINK23"/>
      <w:r>
        <w:rPr>
          <w:rFonts w:hint="eastAsia" w:ascii="仿宋_GB2312" w:hAnsi="仿宋_GB2312" w:cs="仿宋_GB2312"/>
          <w:color w:val="auto"/>
          <w:szCs w:val="32"/>
        </w:rPr>
        <w:t>学习运用“千万工程”经验，持续开展农村人居环境整治，提升基础设施和公共服务水平，让农村成为安居乐业的美丽家园。</w:t>
      </w:r>
    </w:p>
    <w:p w14:paraId="6C86B015">
      <w:pPr>
        <w:pStyle w:val="4"/>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396" w:name="_Toc225513281"/>
      <w:r>
        <w:rPr>
          <w:rFonts w:hint="eastAsia"/>
          <w:color w:val="auto"/>
        </w:rPr>
        <w:t>一、</w:t>
      </w:r>
      <w:r>
        <w:rPr>
          <w:color w:val="auto"/>
        </w:rPr>
        <w:t>推进乡村基础设施提档升级</w:t>
      </w:r>
      <w:bookmarkEnd w:id="394"/>
      <w:bookmarkEnd w:id="396"/>
    </w:p>
    <w:bookmarkEnd w:id="395"/>
    <w:p w14:paraId="061E02F4">
      <w:pPr>
        <w:pageBreakBefore w:val="0"/>
        <w:widowControl/>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聚焦交通便捷、生活便利，完善乡村水、电、路、讯等基础设施。落实“四好农村路”建设要求，实施乡村道路硬化亮化、桥梁改造等工程，改善群众出行条件。加强农村安全饮水设施管理维护，定期开展水质检测，保障群众饮水安全。扎实做好农村危房改造，支持建设现代宜居农房。积极稳妥推进电网维护和升级改造，完善通讯基础设施，加强数字乡村建设，推动农村生产生活条件持续改善。</w:t>
      </w:r>
    </w:p>
    <w:p w14:paraId="4863FEB7">
      <w:pPr>
        <w:pStyle w:val="4"/>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397" w:name="_Toc217984328"/>
      <w:bookmarkStart w:id="398" w:name="_Toc225513282"/>
      <w:r>
        <w:rPr>
          <w:rFonts w:hint="eastAsia"/>
          <w:color w:val="auto"/>
        </w:rPr>
        <w:t>二、</w:t>
      </w:r>
      <w:r>
        <w:rPr>
          <w:color w:val="auto"/>
        </w:rPr>
        <w:t>实施人居环境整治提升行动</w:t>
      </w:r>
      <w:bookmarkEnd w:id="397"/>
      <w:bookmarkEnd w:id="398"/>
    </w:p>
    <w:p w14:paraId="3F2F9589">
      <w:pPr>
        <w:pageBreakBefore w:val="0"/>
        <w:widowControl/>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持续开展村庄清洁行动，建立健全“有制度、有标准、有队伍、有经费、有监督”的</w:t>
      </w:r>
      <w:r>
        <w:rPr>
          <w:rFonts w:hint="eastAsia" w:ascii="仿宋_GB2312" w:hAnsi="仿宋"/>
          <w:color w:val="auto"/>
        </w:rPr>
        <w:t>农村厕所改造长效管护机制；巩固完善“户分类、村收集、</w:t>
      </w:r>
      <w:r>
        <w:rPr>
          <w:rFonts w:hint="eastAsia" w:ascii="仿宋_GB2312" w:hAnsi="仿宋_GB2312" w:cs="仿宋_GB2312"/>
          <w:color w:val="auto"/>
          <w:szCs w:val="32"/>
        </w:rPr>
        <w:t>乡转运、县处理”的农村生活垃圾治理体系；因地制宜推广“建设小型处理终端、并入城镇管网、分散式资源化利用”的农村生活污水治理模式。</w:t>
      </w:r>
    </w:p>
    <w:p w14:paraId="1F88878E">
      <w:pPr>
        <w:pStyle w:val="4"/>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399" w:name="_Toc217984329"/>
      <w:bookmarkStart w:id="400" w:name="_Toc225513283"/>
      <w:bookmarkStart w:id="401" w:name="OLE_LINK24"/>
      <w:r>
        <w:rPr>
          <w:rFonts w:hint="eastAsia"/>
          <w:color w:val="auto"/>
        </w:rPr>
        <w:t>三、推进和美乡村重点片区建设</w:t>
      </w:r>
      <w:bookmarkEnd w:id="399"/>
      <w:bookmarkEnd w:id="400"/>
    </w:p>
    <w:bookmarkEnd w:id="401"/>
    <w:p w14:paraId="53C523CF">
      <w:pPr>
        <w:pageBreakBefore w:val="0"/>
        <w:widowControl/>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按照“干净整洁、美丽宜居、和美共富”的层级标准，分类有序、片区化推进滹沱河沿线、交通主干道沿线、重点景区周边、乡镇政府驻地周边和美乡村建设，集中力量打造岗南水乡和美乡村重点片区、温塘汉泉圣浴康养和美乡村重点片区、北冶喀斯特4A秘境和美乡村重点片区，全面提升宜居宜业宜游的和美乡村建设水平。</w:t>
      </w:r>
    </w:p>
    <w:p w14:paraId="4CFB9224">
      <w:pPr>
        <w:pStyle w:val="3"/>
        <w:pageBreakBefore w:val="0"/>
        <w:kinsoku/>
        <w:wordWrap/>
        <w:overflowPunct/>
        <w:topLinePunct w:val="0"/>
        <w:autoSpaceDE/>
        <w:autoSpaceDN/>
        <w:bidi w:val="0"/>
        <w:adjustRightInd/>
        <w:snapToGrid/>
        <w:spacing w:line="580" w:lineRule="exact"/>
        <w:ind w:firstLine="640"/>
        <w:textAlignment w:val="auto"/>
        <w:rPr>
          <w:rFonts w:hint="eastAsia" w:ascii="楷体_GB2312" w:hAnsi="楷体_GB2312" w:cs="楷体_GB2312"/>
          <w:color w:val="auto"/>
        </w:rPr>
      </w:pPr>
      <w:bookmarkStart w:id="402" w:name="_Toc217984330"/>
      <w:bookmarkStart w:id="403" w:name="_Toc225513284"/>
      <w:r>
        <w:rPr>
          <w:rFonts w:hint="eastAsia"/>
          <w:color w:val="auto"/>
        </w:rPr>
        <w:t xml:space="preserve">第三章  </w:t>
      </w:r>
      <w:bookmarkStart w:id="404" w:name="OLE_LINK25"/>
      <w:r>
        <w:rPr>
          <w:rFonts w:hint="eastAsia"/>
          <w:color w:val="auto"/>
        </w:rPr>
        <w:t>深化农业农村改革</w:t>
      </w:r>
      <w:bookmarkEnd w:id="402"/>
      <w:bookmarkEnd w:id="403"/>
      <w:bookmarkEnd w:id="404"/>
    </w:p>
    <w:p w14:paraId="6A225607">
      <w:pPr>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405" w:name="_Toc217984331"/>
      <w:r>
        <w:rPr>
          <w:rFonts w:hint="eastAsia"/>
          <w:color w:val="auto"/>
        </w:rPr>
        <w:t>以改革破除农业农村体制机制障碍，激发农村资源要素活力，增强内生发展动能。</w:t>
      </w:r>
    </w:p>
    <w:p w14:paraId="424B3A69">
      <w:pPr>
        <w:pStyle w:val="4"/>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406" w:name="_Toc225513285"/>
      <w:r>
        <w:rPr>
          <w:rFonts w:hint="eastAsia"/>
          <w:color w:val="auto"/>
        </w:rPr>
        <w:t>一、巩固完善农村基本经营制度</w:t>
      </w:r>
      <w:bookmarkEnd w:id="405"/>
      <w:bookmarkEnd w:id="406"/>
    </w:p>
    <w:p w14:paraId="5B0CAF40">
      <w:pPr>
        <w:pageBreakBefore w:val="0"/>
        <w:widowControl/>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巩固农村承包地确权登记颁证成果，落实第二轮土地承包到期后再延长三十年政策。稳慎推进农村土地制度改革，有序推动农村集体经营性建设用地入市。发展多种形式适度规模经营，支持家庭农场、农民合作社等新型农业经营主体做大做强。</w:t>
      </w:r>
    </w:p>
    <w:p w14:paraId="10AC13AD">
      <w:pPr>
        <w:pStyle w:val="4"/>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407" w:name="_Toc225513286"/>
      <w:bookmarkStart w:id="408" w:name="_Toc217984333"/>
      <w:r>
        <w:rPr>
          <w:rFonts w:hint="eastAsia"/>
          <w:color w:val="auto"/>
        </w:rPr>
        <w:t>二、完善现代乡村治理体系</w:t>
      </w:r>
      <w:bookmarkEnd w:id="407"/>
      <w:bookmarkEnd w:id="408"/>
    </w:p>
    <w:p w14:paraId="347B9D21">
      <w:pPr>
        <w:pageBreakBefore w:val="0"/>
        <w:widowControl/>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以西柏坡精神为引领，将平山县红色基因转化为治理效能，构建党组织领导下自治、法治、德治相结合的乡村治理体系。强化党建引领，选优配强乡镇领导班子和农村“两委”班子，全面实施乡镇履行职责事项清单，持续整顿软弱涣散村党组织。深化村民自治实践，推广村级“小微权力”清单、积分制等有效治理方式。坚持和发展新时代“枫桥经验”，建设法治平安乡村。大力推进移风易俗，治理高价彩礼、大操大办等陈规陋习</w:t>
      </w:r>
      <w:r>
        <w:rPr>
          <w:rFonts w:hint="eastAsia" w:ascii="仿宋_GB2312"/>
          <w:color w:val="auto"/>
        </w:rPr>
        <w:t>，培育文明乡风、良好家风、淳朴民风。</w:t>
      </w:r>
    </w:p>
    <w:p w14:paraId="0547C732">
      <w:pPr>
        <w:pStyle w:val="4"/>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409" w:name="_Toc217984339"/>
      <w:bookmarkStart w:id="410" w:name="_Toc225513287"/>
      <w:bookmarkStart w:id="411" w:name="_Toc216989098"/>
      <w:bookmarkStart w:id="412" w:name="_Toc217984334"/>
      <w:r>
        <w:rPr>
          <w:rFonts w:hint="eastAsia"/>
          <w:color w:val="auto"/>
        </w:rPr>
        <w:t>三、加强乡村振兴要素保障</w:t>
      </w:r>
      <w:bookmarkEnd w:id="409"/>
      <w:bookmarkEnd w:id="410"/>
    </w:p>
    <w:p w14:paraId="2DB1723A">
      <w:pPr>
        <w:pageBreakBefore w:val="0"/>
        <w:widowControl/>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落实乡村振兴财政投入稳定增长机制，优化财政支农资金使用方式，发挥农业信贷担保体系、农业保险政策体系作用，建立“财政引导、债券补充、社会为主”的多元投入机制。每年安排一定比例新增建设用地计划指标，用于保障农业农村项目实施。加强农业科技人才、产业带头人、乡村治理骨干、高素质农民等人才培育引进，通过“引雁归巢”工程吸引平山籍人才返乡创业兴业，鼓励各领域专业技术人员通过“县管乡用”等方式下沉服务。</w:t>
      </w:r>
    </w:p>
    <w:p w14:paraId="0B77E33B">
      <w:pPr>
        <w:pStyle w:val="3"/>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413" w:name="_Toc225513288"/>
      <w:r>
        <w:rPr>
          <w:rFonts w:hint="eastAsia"/>
          <w:color w:val="auto"/>
        </w:rPr>
        <w:t xml:space="preserve">第四章 </w:t>
      </w:r>
      <w:bookmarkEnd w:id="411"/>
      <w:r>
        <w:rPr>
          <w:rFonts w:hint="eastAsia" w:ascii="宋体" w:hAnsi="宋体" w:eastAsia="宋体" w:cs="宋体"/>
          <w:color w:val="auto"/>
        </w:rPr>
        <w:t>完善常态化防止返贫致贫机制</w:t>
      </w:r>
      <w:bookmarkEnd w:id="412"/>
      <w:bookmarkEnd w:id="413"/>
    </w:p>
    <w:p w14:paraId="1154FED7">
      <w:pPr>
        <w:pageBreakBefore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以“守底线、固成果、促提升”为核心，把</w:t>
      </w:r>
      <w:r>
        <w:rPr>
          <w:rFonts w:hint="eastAsia" w:ascii="仿宋_GB2312" w:hAnsi="仿宋_GB2312" w:cs="仿宋_GB2312"/>
          <w:color w:val="auto"/>
          <w:szCs w:val="32"/>
        </w:rPr>
        <w:t>常态化帮扶纳入乡村振兴战略统筹实施，健全防止返贫致贫机制，坚持精准帮扶、分类帮扶，强化开发式帮扶，增强内生动力，确保不发生规模性返贫致贫。</w:t>
      </w:r>
    </w:p>
    <w:p w14:paraId="04C13E9F">
      <w:pPr>
        <w:pStyle w:val="4"/>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414" w:name="_Toc225513289"/>
      <w:bookmarkStart w:id="415" w:name="_Toc217984335"/>
      <w:bookmarkStart w:id="416" w:name="_Toc216989099"/>
      <w:r>
        <w:rPr>
          <w:rFonts w:hint="eastAsia"/>
          <w:color w:val="auto"/>
        </w:rPr>
        <w:t>一、健全防止返贫动态监测与精准帮扶体系</w:t>
      </w:r>
      <w:bookmarkEnd w:id="414"/>
      <w:bookmarkEnd w:id="415"/>
      <w:bookmarkEnd w:id="416"/>
    </w:p>
    <w:p w14:paraId="30623B4E">
      <w:pPr>
        <w:pageBreakBefore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健全“线上预警+线下排查”的全方位监测体系，聚焦脱贫不稳定户、边缘易致贫户以及因病因灾因意外等刚性支出较大或收入大幅缩减导致基本生活出现严重困难的农户，及时纳入监测帮扶。结合帮扶对象实际情况，实行分类施策，进一步强化产业、就业和发展能力等帮扶措施</w:t>
      </w:r>
      <w:r>
        <w:rPr>
          <w:rFonts w:hint="eastAsia" w:ascii="仿宋_GB2312" w:hAnsi="仿宋"/>
          <w:color w:val="auto"/>
          <w:lang w:eastAsia="zh-CN"/>
        </w:rPr>
        <w:t>，</w:t>
      </w:r>
      <w:r>
        <w:rPr>
          <w:rFonts w:hint="eastAsia" w:ascii="仿宋_GB2312" w:hAnsi="仿宋"/>
          <w:color w:val="auto"/>
        </w:rPr>
        <w:t>继续实施公益性岗位、生态护林员等就业帮扶</w:t>
      </w:r>
      <w:r>
        <w:rPr>
          <w:rFonts w:hint="eastAsia" w:ascii="仿宋_GB2312" w:hAnsi="仿宋"/>
          <w:color w:val="auto"/>
          <w:lang w:eastAsia="zh-CN"/>
        </w:rPr>
        <w:t>，</w:t>
      </w:r>
      <w:r>
        <w:rPr>
          <w:rFonts w:hint="eastAsia" w:ascii="仿宋_GB2312" w:hAnsi="仿宋"/>
          <w:color w:val="auto"/>
        </w:rPr>
        <w:t>加强易地扶贫搬迁人口后续帮扶</w:t>
      </w:r>
      <w:r>
        <w:rPr>
          <w:rFonts w:hint="eastAsia" w:ascii="仿宋_GB2312" w:hAnsi="仿宋"/>
          <w:color w:val="auto"/>
          <w:lang w:eastAsia="zh-CN"/>
        </w:rPr>
        <w:t>，</w:t>
      </w:r>
      <w:r>
        <w:rPr>
          <w:rFonts w:hint="eastAsia" w:ascii="仿宋_GB2312" w:hAnsi="仿宋"/>
          <w:color w:val="auto"/>
        </w:rPr>
        <w:t>把开发式帮扶落到实处。</w:t>
      </w:r>
    </w:p>
    <w:p w14:paraId="33731E8C">
      <w:pPr>
        <w:pStyle w:val="4"/>
        <w:pageBreakBefore w:val="0"/>
        <w:kinsoku/>
        <w:wordWrap/>
        <w:overflowPunct/>
        <w:topLinePunct w:val="0"/>
        <w:autoSpaceDE/>
        <w:autoSpaceDN/>
        <w:bidi w:val="0"/>
        <w:adjustRightInd/>
        <w:snapToGrid/>
        <w:spacing w:line="580" w:lineRule="exact"/>
        <w:ind w:firstLine="640"/>
        <w:textAlignment w:val="auto"/>
        <w:rPr>
          <w:rFonts w:hint="eastAsia"/>
          <w:color w:val="auto"/>
        </w:rPr>
      </w:pPr>
      <w:bookmarkStart w:id="417" w:name="_Toc225513290"/>
      <w:bookmarkStart w:id="418" w:name="_Toc217984336"/>
      <w:bookmarkStart w:id="419" w:name="_Toc216989100"/>
      <w:r>
        <w:rPr>
          <w:rFonts w:hint="eastAsia"/>
          <w:color w:val="auto"/>
        </w:rPr>
        <w:t>二、</w:t>
      </w:r>
      <w:bookmarkEnd w:id="417"/>
      <w:bookmarkEnd w:id="418"/>
      <w:bookmarkEnd w:id="419"/>
      <w:bookmarkStart w:id="420" w:name="_Toc217984337"/>
      <w:bookmarkStart w:id="421" w:name="_Toc216989101"/>
      <w:bookmarkStart w:id="422" w:name="_Toc225513291"/>
      <w:r>
        <w:rPr>
          <w:rFonts w:hint="eastAsia"/>
          <w:color w:val="auto"/>
        </w:rPr>
        <w:t>促进脱贫人口稳定增收</w:t>
      </w:r>
      <w:bookmarkEnd w:id="420"/>
      <w:bookmarkEnd w:id="421"/>
      <w:bookmarkEnd w:id="422"/>
    </w:p>
    <w:p w14:paraId="6267C1BD">
      <w:pPr>
        <w:pageBreakBefore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健全财政衔接资金项目管理机制，加强项目后续运营监管，保障脱贫人口产业收益。健全就业帮扶体系，开展订单式、定岗式技能培训，促进脱贫人口高质量就业。加强与京津石劳务协作，落实交通补贴，强化用工维权，确保脱贫劳动力稳定增收。</w:t>
      </w:r>
    </w:p>
    <w:tbl>
      <w:tblPr>
        <w:tblStyle w:val="32"/>
        <w:tblW w:w="84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84"/>
      </w:tblGrid>
      <w:tr w14:paraId="09E9D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84" w:type="dxa"/>
          </w:tcPr>
          <w:p w14:paraId="41806A8B">
            <w:pPr>
              <w:ind w:firstLine="0" w:firstLineChars="0"/>
              <w:jc w:val="center"/>
              <w:rPr>
                <w:rFonts w:hint="eastAsia" w:ascii="宋体" w:hAnsi="宋体" w:eastAsia="宋体"/>
                <w:b/>
                <w:bCs/>
                <w:color w:val="auto"/>
                <w:kern w:val="0"/>
                <w:sz w:val="24"/>
                <w:szCs w:val="24"/>
              </w:rPr>
            </w:pPr>
            <w:r>
              <w:rPr>
                <w:rFonts w:hint="eastAsia" w:ascii="宋体" w:hAnsi="宋体" w:eastAsia="宋体"/>
                <w:b/>
                <w:bCs/>
                <w:color w:val="auto"/>
                <w:kern w:val="0"/>
                <w:sz w:val="24"/>
                <w:szCs w:val="24"/>
              </w:rPr>
              <w:t>专栏6：农业农村领域</w:t>
            </w:r>
          </w:p>
          <w:p w14:paraId="76842C23">
            <w:pPr>
              <w:widowControl/>
              <w:spacing w:line="500" w:lineRule="exact"/>
              <w:ind w:firstLine="0" w:firstLineChars="0"/>
              <w:rPr>
                <w:rFonts w:hint="eastAsia" w:ascii="宋体" w:hAnsi="宋体" w:eastAsia="宋体" w:cs="仿宋_GB2312"/>
                <w:color w:val="auto"/>
                <w:kern w:val="0"/>
                <w:sz w:val="24"/>
                <w:szCs w:val="24"/>
                <w:lang w:bidi="ar"/>
              </w:rPr>
            </w:pPr>
            <w:r>
              <w:rPr>
                <w:rFonts w:hint="eastAsia" w:ascii="宋体" w:hAnsi="宋体" w:eastAsia="宋体"/>
                <w:b/>
                <w:bCs/>
                <w:color w:val="auto"/>
                <w:kern w:val="0"/>
                <w:sz w:val="24"/>
                <w:szCs w:val="24"/>
              </w:rPr>
              <w:t>1.农村基础设施提升：</w:t>
            </w:r>
            <w:r>
              <w:rPr>
                <w:rFonts w:hint="eastAsia" w:ascii="宋体" w:hAnsi="宋体" w:eastAsia="宋体"/>
                <w:color w:val="auto"/>
                <w:kern w:val="0"/>
                <w:sz w:val="24"/>
                <w:szCs w:val="24"/>
              </w:rPr>
              <w:t>实施街道硬化、污水管网、污水处理终端等基础设施建设或改造提升工程。补齐农村基础设施薄弱环节，消除农村脏乱差，改善农民生产、生活条件，打造宜居宜业人居环境。</w:t>
            </w:r>
          </w:p>
          <w:p w14:paraId="479E2C28">
            <w:pPr>
              <w:widowControl/>
              <w:spacing w:line="500" w:lineRule="exact"/>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2.和美乡村重点片区建设</w:t>
            </w:r>
            <w:r>
              <w:rPr>
                <w:rFonts w:hint="eastAsia" w:ascii="宋体" w:hAnsi="宋体" w:eastAsia="宋体" w:cs="仿宋_GB2312"/>
                <w:b/>
                <w:bCs/>
                <w:color w:val="auto"/>
                <w:kern w:val="0"/>
                <w:sz w:val="24"/>
                <w:szCs w:val="24"/>
                <w:lang w:bidi="ar"/>
              </w:rPr>
              <w:t>：</w:t>
            </w:r>
            <w:r>
              <w:rPr>
                <w:rFonts w:hint="eastAsia" w:ascii="宋体" w:hAnsi="宋体" w:eastAsia="宋体"/>
                <w:color w:val="auto"/>
                <w:kern w:val="0"/>
                <w:sz w:val="24"/>
                <w:szCs w:val="24"/>
              </w:rPr>
              <w:t>重点打造岗南水乡、温塘康养等和美乡村重点片区，实施道路硬化、村庄亮化、村庄绿化等基础设施提升工程，发展蔬菜种植、农产品加工等乡村产业。</w:t>
            </w:r>
          </w:p>
          <w:p w14:paraId="1A10D4AC">
            <w:pPr>
              <w:widowControl/>
              <w:spacing w:line="500" w:lineRule="exact"/>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3.农业特色产业：</w:t>
            </w:r>
            <w:r>
              <w:rPr>
                <w:rFonts w:hint="eastAsia" w:ascii="宋体" w:hAnsi="宋体" w:eastAsia="宋体"/>
                <w:color w:val="auto"/>
                <w:kern w:val="0"/>
                <w:sz w:val="24"/>
                <w:szCs w:val="24"/>
              </w:rPr>
              <w:t>建设日光温室、冷棚、养殖设施、农产品加工车间及其配套设施、冷库以及产业园区配套设施等。发展壮大农业特色产业，提升产业发展质量，为乡村全面振兴提供产业支撑。</w:t>
            </w:r>
          </w:p>
          <w:p w14:paraId="12BB91AB">
            <w:pPr>
              <w:widowControl/>
              <w:spacing w:line="500" w:lineRule="exact"/>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4.农产品加工及交易：</w:t>
            </w:r>
            <w:r>
              <w:rPr>
                <w:rFonts w:hint="eastAsia" w:ascii="宋体" w:hAnsi="宋体" w:eastAsia="宋体"/>
                <w:color w:val="auto"/>
                <w:kern w:val="0"/>
                <w:sz w:val="24"/>
                <w:szCs w:val="24"/>
              </w:rPr>
              <w:t>建设种养业农产品精深加工标准厂房、冷链、仓储、电商交易平台等，并配套相关设施设备。</w:t>
            </w:r>
          </w:p>
          <w:p w14:paraId="40D01607">
            <w:pPr>
              <w:ind w:firstLine="0" w:firstLineChars="0"/>
              <w:rPr>
                <w:rFonts w:hint="eastAsia" w:ascii="宋体" w:hAnsi="宋体" w:eastAsia="宋体"/>
                <w:color w:val="auto"/>
                <w:kern w:val="0"/>
                <w:sz w:val="24"/>
                <w:szCs w:val="24"/>
              </w:rPr>
            </w:pPr>
            <w:r>
              <w:rPr>
                <w:rFonts w:hint="eastAsia" w:ascii="宋体" w:hAnsi="宋体" w:eastAsia="宋体" w:cs="宋体"/>
                <w:b/>
                <w:bCs/>
                <w:color w:val="auto"/>
                <w:kern w:val="0"/>
                <w:sz w:val="24"/>
                <w:szCs w:val="24"/>
                <w:lang w:bidi="ar"/>
              </w:rPr>
              <w:t>5</w:t>
            </w:r>
            <w:r>
              <w:rPr>
                <w:rFonts w:hint="eastAsia" w:ascii="宋体" w:hAnsi="宋体" w:eastAsia="宋体"/>
                <w:b/>
                <w:bCs/>
                <w:color w:val="auto"/>
                <w:kern w:val="0"/>
                <w:sz w:val="24"/>
                <w:szCs w:val="24"/>
              </w:rPr>
              <w:t>.高标准农田建设：</w:t>
            </w:r>
            <w:r>
              <w:rPr>
                <w:rFonts w:hint="eastAsia" w:ascii="宋体" w:hAnsi="宋体" w:eastAsia="宋体"/>
                <w:color w:val="auto"/>
                <w:kern w:val="0"/>
                <w:sz w:val="24"/>
                <w:szCs w:val="24"/>
              </w:rPr>
              <w:t>建设高标准农田，提升耕地地力和农业生产条件，提高农业生产效率，带动农民增收。</w:t>
            </w:r>
          </w:p>
        </w:tc>
      </w:tr>
    </w:tbl>
    <w:p w14:paraId="6B6746BB">
      <w:pPr>
        <w:widowControl/>
        <w:spacing w:line="240" w:lineRule="auto"/>
        <w:ind w:firstLine="0" w:firstLineChars="0"/>
        <w:jc w:val="left"/>
        <w:rPr>
          <w:rFonts w:hint="eastAsia" w:eastAsia="黑体"/>
          <w:b/>
          <w:bCs/>
          <w:color w:val="auto"/>
          <w:kern w:val="44"/>
          <w:szCs w:val="44"/>
        </w:rPr>
      </w:pPr>
      <w:r>
        <w:rPr>
          <w:rFonts w:hint="eastAsia"/>
          <w:color w:val="auto"/>
        </w:rPr>
        <w:br w:type="page"/>
      </w:r>
    </w:p>
    <w:bookmarkEnd w:id="245"/>
    <w:bookmarkEnd w:id="246"/>
    <w:p w14:paraId="74116094">
      <w:pPr>
        <w:pStyle w:val="2"/>
        <w:pageBreakBefore w:val="0"/>
        <w:widowControl w:val="0"/>
        <w:kinsoku/>
        <w:wordWrap/>
        <w:overflowPunct/>
        <w:topLinePunct w:val="0"/>
        <w:autoSpaceDE/>
        <w:autoSpaceDN/>
        <w:bidi w:val="0"/>
        <w:adjustRightInd/>
        <w:snapToGrid/>
        <w:spacing w:line="580" w:lineRule="exact"/>
        <w:ind w:firstLine="643"/>
        <w:textAlignment w:val="auto"/>
        <w:rPr>
          <w:rFonts w:hint="eastAsia"/>
          <w:color w:val="auto"/>
        </w:rPr>
      </w:pPr>
      <w:bookmarkStart w:id="423" w:name="_Toc217984343"/>
      <w:bookmarkStart w:id="424" w:name="_Toc216989110"/>
      <w:bookmarkStart w:id="425" w:name="_Toc225513292"/>
      <w:bookmarkStart w:id="426" w:name="_Toc211252013"/>
      <w:bookmarkStart w:id="427" w:name="_Toc211252042"/>
      <w:bookmarkStart w:id="428" w:name="_Toc207630008"/>
      <w:r>
        <w:rPr>
          <w:rFonts w:hint="eastAsia"/>
          <w:color w:val="auto"/>
        </w:rPr>
        <w:t xml:space="preserve">第八篇 </w:t>
      </w:r>
      <w:r>
        <w:rPr>
          <w:color w:val="auto"/>
        </w:rPr>
        <w:t>深化改革</w:t>
      </w:r>
      <w:r>
        <w:rPr>
          <w:rFonts w:hint="eastAsia"/>
          <w:color w:val="auto"/>
        </w:rPr>
        <w:t>开放</w:t>
      </w:r>
      <w:r>
        <w:rPr>
          <w:color w:val="auto"/>
        </w:rPr>
        <w:t>，</w:t>
      </w:r>
      <w:r>
        <w:rPr>
          <w:rFonts w:hint="eastAsia"/>
          <w:color w:val="auto"/>
        </w:rPr>
        <w:t>为高质量</w:t>
      </w:r>
      <w:r>
        <w:rPr>
          <w:color w:val="auto"/>
        </w:rPr>
        <w:t>发展</w:t>
      </w:r>
      <w:r>
        <w:rPr>
          <w:rFonts w:hint="eastAsia"/>
          <w:color w:val="auto"/>
        </w:rPr>
        <w:t>增添动力</w:t>
      </w:r>
      <w:bookmarkEnd w:id="423"/>
      <w:bookmarkEnd w:id="424"/>
      <w:bookmarkEnd w:id="425"/>
      <w:bookmarkEnd w:id="426"/>
    </w:p>
    <w:p w14:paraId="59B2F64A">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Times New Roman"/>
          <w:color w:val="auto"/>
          <w:szCs w:val="32"/>
        </w:rPr>
        <w:t>落实党的二十届四中全会关于“进一步全面深化改革”战略部署，扎实</w:t>
      </w:r>
      <w:r>
        <w:rPr>
          <w:rFonts w:hint="eastAsia" w:ascii="仿宋_GB2312" w:hAnsi="仿宋"/>
          <w:color w:val="auto"/>
        </w:rPr>
        <w:t>推进重点领域改革突破、营商环境优化升级、对外开放水平提升，为全县高质量跨越式发展注入强劲动力、提供坚实保障。</w:t>
      </w:r>
    </w:p>
    <w:p w14:paraId="419F5DB5">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29" w:name="_Toc211252014"/>
      <w:bookmarkStart w:id="430" w:name="_Toc216989111"/>
      <w:bookmarkStart w:id="431" w:name="_Toc225513293"/>
      <w:bookmarkStart w:id="432" w:name="_Toc217984344"/>
      <w:r>
        <w:rPr>
          <w:rFonts w:hint="eastAsia"/>
          <w:color w:val="auto"/>
        </w:rPr>
        <w:t>第一章 推进重点领域改革</w:t>
      </w:r>
      <w:bookmarkEnd w:id="429"/>
      <w:bookmarkEnd w:id="430"/>
      <w:bookmarkEnd w:id="431"/>
      <w:bookmarkEnd w:id="432"/>
    </w:p>
    <w:p w14:paraId="19DAC70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聚焦土地、财税、国企等关键领域，持续深化改革，破除体制机制障碍，为县域经济社会发展注入持久动力。</w:t>
      </w:r>
    </w:p>
    <w:p w14:paraId="7911AB42">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33" w:name="_Toc211252015"/>
      <w:bookmarkStart w:id="434" w:name="_Toc217984345"/>
      <w:bookmarkStart w:id="435" w:name="_Toc216989112"/>
      <w:bookmarkStart w:id="436" w:name="_Toc225513294"/>
      <w:r>
        <w:rPr>
          <w:rFonts w:hint="eastAsia"/>
          <w:color w:val="auto"/>
        </w:rPr>
        <w:t>一、深化土地制度改革</w:t>
      </w:r>
      <w:bookmarkEnd w:id="433"/>
      <w:bookmarkEnd w:id="434"/>
      <w:bookmarkEnd w:id="435"/>
      <w:bookmarkEnd w:id="436"/>
    </w:p>
    <w:p w14:paraId="35E3F5C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落实国土空间规划管控，健全城乡统一的建设用地市场交易规则与收益分配机制，统筹城镇建设与农村发展用地需求，优先保障重点产业、民生工程和基础设施项目用地。盘活低效工业用地与闲置农村宅基地，提高土地集约节约利用水平，为县域发展预留空间。</w:t>
      </w:r>
    </w:p>
    <w:p w14:paraId="05584489">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37" w:name="_Toc225513295"/>
      <w:bookmarkStart w:id="438" w:name="_Toc217984346"/>
      <w:bookmarkStart w:id="439" w:name="_Toc211252016"/>
      <w:bookmarkStart w:id="440" w:name="_Toc216989113"/>
      <w:r>
        <w:rPr>
          <w:rFonts w:hint="eastAsia"/>
          <w:color w:val="auto"/>
        </w:rPr>
        <w:t>二、优化财税体制机制</w:t>
      </w:r>
      <w:bookmarkEnd w:id="437"/>
      <w:bookmarkEnd w:id="438"/>
      <w:bookmarkEnd w:id="439"/>
      <w:bookmarkEnd w:id="440"/>
    </w:p>
    <w:p w14:paraId="2649F79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完善县乡财政管理体制，建立与事权相匹配的财力分配机制，增强乡镇公共服务保障能力。落实国家减税降费政策，支持传统产业转型和新兴产业发展，减轻经营主体负担。依法依规引导社会资本投向钢铁、新能源、新材料、红色文旅等重点领域，撬动产业升级与项目落地。</w:t>
      </w:r>
    </w:p>
    <w:p w14:paraId="7EAB2733">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41" w:name="_Toc211252017"/>
      <w:bookmarkStart w:id="442" w:name="_Toc217984347"/>
      <w:bookmarkStart w:id="443" w:name="_Toc216989114"/>
      <w:bookmarkStart w:id="444" w:name="_Toc225513296"/>
      <w:r>
        <w:rPr>
          <w:rFonts w:hint="eastAsia"/>
          <w:color w:val="auto"/>
        </w:rPr>
        <w:t>三、推动国资国企改革</w:t>
      </w:r>
      <w:bookmarkEnd w:id="441"/>
      <w:bookmarkEnd w:id="442"/>
      <w:bookmarkEnd w:id="443"/>
      <w:bookmarkEnd w:id="444"/>
    </w:p>
    <w:p w14:paraId="070BD235">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优化国有资本布局，引导资源向县域优势产业和民生关键领域集中。完善现代企业制度，健全市场化经营机制，提升国有资本运营效率。支持县域优质企业通过混合所有制改革引入战略投资者，优化股权结构与治理模式，增强企业创新能力与市场竞争力。</w:t>
      </w:r>
    </w:p>
    <w:p w14:paraId="6B8BE656">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45" w:name="_Toc216989116"/>
      <w:bookmarkStart w:id="446" w:name="_Toc211252018"/>
      <w:bookmarkStart w:id="447" w:name="_Toc225513297"/>
      <w:bookmarkStart w:id="448" w:name="_Toc217984349"/>
      <w:r>
        <w:rPr>
          <w:rFonts w:hint="eastAsia"/>
          <w:color w:val="auto"/>
        </w:rPr>
        <w:t>第二章 持续优化营商环境</w:t>
      </w:r>
      <w:bookmarkEnd w:id="445"/>
      <w:bookmarkEnd w:id="446"/>
      <w:bookmarkEnd w:id="447"/>
      <w:bookmarkEnd w:id="448"/>
    </w:p>
    <w:p w14:paraId="71105C16">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bookmarkStart w:id="449" w:name="_Toc217984350"/>
      <w:bookmarkStart w:id="450" w:name="_Toc216989117"/>
      <w:r>
        <w:rPr>
          <w:rFonts w:hint="eastAsia" w:ascii="仿宋_GB2312" w:hAnsi="仿宋"/>
          <w:color w:val="auto"/>
        </w:rPr>
        <w:t>坚持有效市场和有为政府相结合，聚焦企业需求，发挥政府作用，加强服务保障，着力营造一流营商环境。</w:t>
      </w:r>
    </w:p>
    <w:p w14:paraId="1BA9B919">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51" w:name="_Toc225513298"/>
      <w:r>
        <w:rPr>
          <w:rFonts w:hint="eastAsia"/>
          <w:color w:val="auto"/>
        </w:rPr>
        <w:t>一、打造高效、便捷、公平的营商环境</w:t>
      </w:r>
      <w:bookmarkEnd w:id="449"/>
      <w:bookmarkEnd w:id="450"/>
      <w:bookmarkEnd w:id="451"/>
    </w:p>
    <w:p w14:paraId="592EA65C">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以市场化、法治化为导向，深入实施市场、政务、要素、法治、信用环境提升工程，巩固拓展招标投标“双盲”评审改革成果，落实市场准入负面清单制度，营造公平竞争的市场环境。深入推进“高效办成一件事”改革，</w:t>
      </w:r>
      <w:r>
        <w:rPr>
          <w:rFonts w:ascii="仿宋_GB2312" w:hAnsi="仿宋"/>
          <w:color w:val="auto"/>
        </w:rPr>
        <w:t xml:space="preserve"> </w:t>
      </w:r>
      <w:r>
        <w:rPr>
          <w:rFonts w:hint="eastAsia" w:ascii="仿宋_GB2312" w:hAnsi="仿宋"/>
          <w:color w:val="auto"/>
        </w:rPr>
        <w:t>推动更多政务服务事项集成办理，优化公共服务平台功能，完善12345政务服务便民热线事项承办、营商环境投诉举报快速办理等制度机制，营造高效便捷的政务环境。严格规范涉企行政执法，切实维护企业合法权益，营造公平公正的法治环境。常态化开展政银企对接交流，做好人才、土地、资金供给，营造多元保障的要素环境。</w:t>
      </w:r>
    </w:p>
    <w:p w14:paraId="6DB0ECB0">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52" w:name="_Toc216989118"/>
      <w:bookmarkStart w:id="453" w:name="_Toc225513299"/>
      <w:bookmarkStart w:id="454" w:name="_Toc217984351"/>
      <w:r>
        <w:rPr>
          <w:rFonts w:hint="eastAsia"/>
          <w:color w:val="auto"/>
        </w:rPr>
        <w:t>二、健全支持民营经济发展体制机制</w:t>
      </w:r>
      <w:bookmarkEnd w:id="452"/>
      <w:bookmarkEnd w:id="453"/>
      <w:bookmarkEnd w:id="454"/>
    </w:p>
    <w:p w14:paraId="377510E7">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落实民营经济促进法，依法保护民营企业产权和企业家合法权益，促进非公有制经济健康发展、非公有制经济人士健康成长。落实民营企业融资支持政策，调动民间投资积极性。深化社会信用体系建设，健全民营中小企业增信制度，促进经营主体和个体工商户守信经营，营造良好信用环境。大力弘扬企业家精神，常态化开展企业家座谈会，健全政府与各类企业常态化沟通交流机制，构建精准助企服务体系，推动惠企政策直达快享、应享尽享。</w:t>
      </w:r>
    </w:p>
    <w:p w14:paraId="2116363A">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55" w:name="_Toc225513300"/>
      <w:bookmarkStart w:id="456" w:name="_Toc217984352"/>
      <w:bookmarkStart w:id="457" w:name="_Toc216989119"/>
      <w:r>
        <w:rPr>
          <w:rFonts w:hint="eastAsia"/>
          <w:color w:val="auto"/>
        </w:rPr>
        <w:t>第三章 拓展高水平对外开放</w:t>
      </w:r>
      <w:bookmarkEnd w:id="455"/>
      <w:bookmarkEnd w:id="456"/>
      <w:bookmarkEnd w:id="457"/>
    </w:p>
    <w:p w14:paraId="6C2B0D6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积极融入国家战略和省市大局，坚定不移扩大对外开放，用好外部资源发展自己，开创合作共赢新局面。</w:t>
      </w:r>
    </w:p>
    <w:p w14:paraId="4AAE53C7">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58" w:name="_Toc225513301"/>
      <w:r>
        <w:rPr>
          <w:rFonts w:hint="eastAsia"/>
          <w:color w:val="auto"/>
        </w:rPr>
        <w:t>一、服务和融入京津冀协同发展</w:t>
      </w:r>
      <w:bookmarkEnd w:id="458"/>
    </w:p>
    <w:p w14:paraId="1CD0E30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牢牢把握京津冀协同发展战略机遇，主动承接北京非首都功能疏解，聚焦高端装备制造、新能源、新材料、数字经济、特色农业等领域，建立“产业需求清单+招商目录”精准对接机制，用好“廊洽会”“数博会”“进博会”等重大招商平台，</w:t>
      </w:r>
      <w:r>
        <w:rPr>
          <w:rFonts w:hint="eastAsia" w:ascii="仿宋_GB2312"/>
          <w:color w:val="auto"/>
        </w:rPr>
        <w:t>实施“补链、强链、延链”精准招商，强化产业集群效应，</w:t>
      </w:r>
      <w:r>
        <w:rPr>
          <w:rFonts w:hint="eastAsia" w:ascii="仿宋_GB2312" w:hAnsi="仿宋"/>
          <w:color w:val="auto"/>
        </w:rPr>
        <w:t xml:space="preserve">带动传统产业转型升级与新兴产业培育壮大。借助“河北净菜”、“河北福嫂”等品牌，支持本地优质“土特产品”和服务进入京津地区，在教育、医疗等领域主动加强与京津石等地合作，积极引进优质资源，促进平山事业发展。 </w:t>
      </w:r>
    </w:p>
    <w:p w14:paraId="14A1F59C">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59" w:name="_Toc225513302"/>
      <w:r>
        <w:rPr>
          <w:rFonts w:hint="eastAsia"/>
          <w:color w:val="auto"/>
        </w:rPr>
        <w:t>二、联动其他区域发展</w:t>
      </w:r>
      <w:bookmarkEnd w:id="459"/>
    </w:p>
    <w:p w14:paraId="24581D6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积极拓展与粤港澳大湾区、长三角等先进地区的合作，重点引进先进技术、管理经验和高端人才；加强与革命老区、生态功能区跨区域合作，共建红色旅游线路、生态保护联盟，实现资源共享、优势互补。</w:t>
      </w:r>
    </w:p>
    <w:p w14:paraId="636C5640">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60" w:name="_Toc225513303"/>
      <w:r>
        <w:rPr>
          <w:rFonts w:hint="eastAsia"/>
          <w:color w:val="auto"/>
        </w:rPr>
        <w:t>三、支持拓展国外市场</w:t>
      </w:r>
      <w:bookmarkEnd w:id="460"/>
    </w:p>
    <w:p w14:paraId="4E35B5A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借助省、市开放发展机遇，主动融入国际国内“两个循环”，共建“一带一路”</w:t>
      </w:r>
      <w:r>
        <w:rPr>
          <w:rFonts w:hint="eastAsia" w:ascii="仿宋_GB2312" w:hAnsi="仿宋"/>
          <w:color w:val="auto"/>
          <w:lang w:eastAsia="zh-CN"/>
        </w:rPr>
        <w:t>倡议</w:t>
      </w:r>
      <w:bookmarkStart w:id="672" w:name="_GoBack"/>
      <w:bookmarkEnd w:id="672"/>
      <w:r>
        <w:rPr>
          <w:rFonts w:hint="eastAsia" w:ascii="仿宋_GB2312" w:hAnsi="仿宋"/>
          <w:color w:val="auto"/>
        </w:rPr>
        <w:t>、“冀货出海拓市场”行动，鼓励县内企业参加国际高端交流和展会活动，推动优质工业产品和农产品“走出去”，稳定外资外贸发展水平。</w:t>
      </w:r>
      <w:bookmarkEnd w:id="427"/>
      <w:bookmarkEnd w:id="428"/>
      <w:bookmarkStart w:id="461" w:name="_Toc217984356"/>
      <w:bookmarkStart w:id="462" w:name="_Toc211252071"/>
      <w:bookmarkStart w:id="463" w:name="_Toc216989142"/>
      <w:bookmarkStart w:id="464" w:name="_Toc207630013"/>
      <w:bookmarkStart w:id="465" w:name="_Toc211252055"/>
    </w:p>
    <w:p w14:paraId="7D87CBA5">
      <w:pPr>
        <w:ind w:firstLine="640"/>
        <w:rPr>
          <w:rFonts w:hint="eastAsia" w:ascii="仿宋_GB2312" w:hAnsi="仿宋"/>
          <w:color w:val="auto"/>
        </w:rPr>
      </w:pPr>
    </w:p>
    <w:p w14:paraId="5D9C674F">
      <w:pPr>
        <w:ind w:firstLine="640"/>
        <w:rPr>
          <w:rFonts w:hint="eastAsia"/>
          <w:color w:val="auto"/>
        </w:rPr>
      </w:pPr>
    </w:p>
    <w:p w14:paraId="543430F8">
      <w:pPr>
        <w:ind w:firstLine="640"/>
        <w:rPr>
          <w:rFonts w:hint="eastAsia"/>
          <w:color w:val="auto"/>
        </w:rPr>
      </w:pPr>
    </w:p>
    <w:p w14:paraId="714769D1">
      <w:pPr>
        <w:ind w:firstLine="640"/>
        <w:rPr>
          <w:rFonts w:hint="eastAsia"/>
          <w:color w:val="auto"/>
        </w:rPr>
      </w:pPr>
    </w:p>
    <w:p w14:paraId="7347BD78">
      <w:pPr>
        <w:widowControl/>
        <w:spacing w:after="0" w:line="240" w:lineRule="auto"/>
        <w:ind w:firstLine="0" w:firstLineChars="0"/>
        <w:jc w:val="left"/>
        <w:rPr>
          <w:rFonts w:hint="eastAsia" w:eastAsia="黑体"/>
          <w:b/>
          <w:bCs/>
          <w:color w:val="auto"/>
          <w:kern w:val="44"/>
          <w:szCs w:val="44"/>
        </w:rPr>
      </w:pPr>
      <w:r>
        <w:rPr>
          <w:rFonts w:hint="eastAsia"/>
          <w:color w:val="auto"/>
        </w:rPr>
        <w:br w:type="page"/>
      </w:r>
    </w:p>
    <w:p w14:paraId="5BB35AF4">
      <w:pPr>
        <w:pStyle w:val="2"/>
        <w:pageBreakBefore w:val="0"/>
        <w:widowControl w:val="0"/>
        <w:kinsoku/>
        <w:wordWrap/>
        <w:overflowPunct/>
        <w:topLinePunct w:val="0"/>
        <w:autoSpaceDE/>
        <w:autoSpaceDN/>
        <w:bidi w:val="0"/>
        <w:adjustRightInd/>
        <w:snapToGrid/>
        <w:spacing w:line="580" w:lineRule="exact"/>
        <w:ind w:firstLine="643"/>
        <w:textAlignment w:val="auto"/>
        <w:rPr>
          <w:rFonts w:hint="eastAsia"/>
          <w:color w:val="auto"/>
        </w:rPr>
      </w:pPr>
      <w:bookmarkStart w:id="466" w:name="_Toc225513304"/>
      <w:r>
        <w:rPr>
          <w:rFonts w:hint="eastAsia"/>
          <w:color w:val="auto"/>
        </w:rPr>
        <w:t>第九篇 坚持以人民为中心，增进百姓福祉新成效</w:t>
      </w:r>
      <w:bookmarkEnd w:id="461"/>
      <w:bookmarkEnd w:id="462"/>
      <w:bookmarkEnd w:id="463"/>
      <w:bookmarkEnd w:id="466"/>
    </w:p>
    <w:p w14:paraId="0AB52F5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Times New Roman"/>
          <w:color w:val="auto"/>
          <w:szCs w:val="32"/>
        </w:rPr>
        <w:t>落实党的二十届四中全会明确提出“以满足人民日益增长的美好生活需要为根本目的”部署要求，要</w:t>
      </w:r>
      <w:r>
        <w:rPr>
          <w:rFonts w:hint="eastAsia" w:ascii="仿宋_GB2312" w:hAnsi="仿宋"/>
          <w:color w:val="auto"/>
        </w:rPr>
        <w:t>聚焦教育医疗、养老育幼、就业社保等群众关切领域，补短板、强弱项、提品质，不断增强人民群众获得感、幸福感、安全感。</w:t>
      </w:r>
    </w:p>
    <w:p w14:paraId="63E6CBC3">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67" w:name="_Toc217984357"/>
      <w:bookmarkStart w:id="468" w:name="_Toc211252072"/>
      <w:bookmarkStart w:id="469" w:name="_Toc225513305"/>
      <w:bookmarkStart w:id="470" w:name="_Toc216989143"/>
      <w:r>
        <w:rPr>
          <w:rFonts w:hint="eastAsia"/>
          <w:color w:val="auto"/>
        </w:rPr>
        <w:t>第一章 打造优质教育体系</w:t>
      </w:r>
      <w:bookmarkEnd w:id="467"/>
      <w:bookmarkEnd w:id="468"/>
      <w:bookmarkEnd w:id="469"/>
      <w:bookmarkEnd w:id="470"/>
    </w:p>
    <w:p w14:paraId="2823F4E6">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以办好人民满意的教育为目标，优化教育资源配置，深化教育领域改革，构建覆盖全学段、城乡均衡的优质教育体系，为县域发展提供人才支撑。</w:t>
      </w:r>
    </w:p>
    <w:p w14:paraId="0676D51A">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471" w:name="_Toc217984358"/>
      <w:bookmarkStart w:id="472" w:name="_Toc225513306"/>
      <w:r>
        <w:rPr>
          <w:rFonts w:hint="eastAsia" w:ascii="仿宋_GB2312"/>
          <w:color w:val="auto"/>
        </w:rPr>
        <w:t>一、科学规划基础教育资源，优化城乡空间布局</w:t>
      </w:r>
      <w:bookmarkEnd w:id="471"/>
      <w:bookmarkEnd w:id="472"/>
    </w:p>
    <w:p w14:paraId="17DA0D1B">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顺应县域人口结构变化与城镇化发展趋势，构建与人口动态相协调的基础教育资源统筹调配机制，系统性扩大优质教育资源覆盖面，有效回应群众“上好学”的期盼。科学研判、动态调整全县中小学、幼儿园规划布局，推动义务教育向优质均衡和城乡一体化发展，推进学前教育普及、普惠、安全与优质发展。增加普通高中学位供给，提升县域高中办学水平。发展职业教育，促进产教融合。完善特殊教育保障机制，保障特殊群体受教育需求。</w:t>
      </w:r>
    </w:p>
    <w:p w14:paraId="2335834D">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473" w:name="_Toc225513307"/>
      <w:bookmarkStart w:id="474" w:name="_Toc217984359"/>
      <w:r>
        <w:rPr>
          <w:rFonts w:hint="eastAsia" w:ascii="仿宋_GB2312"/>
          <w:color w:val="auto"/>
        </w:rPr>
        <w:t>二、深化教育教学改革，全面提升育人质量</w:t>
      </w:r>
      <w:bookmarkEnd w:id="473"/>
      <w:bookmarkEnd w:id="474"/>
    </w:p>
    <w:p w14:paraId="56FAE72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坚定不移落实立德树人根本任务，完善德智体美劳全面培养的“五育并举”教育体系。充分利用红色文化资源，促进思政小课堂与社会大课堂深度融合。强化体育、美育和劳动教育，促进学生身心健康、体魄强健、全面发展。推进教育评价改革，完善以学生全面发展为导向的多元综合评价机制。深化义务教育“双减”工作，强化学校教育主阵地作用，提升课堂教学质量和课后服务水平。严格实行“阳光招生”，保障招生入学环节公平公正。</w:t>
      </w:r>
    </w:p>
    <w:p w14:paraId="7283B11D">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475" w:name="_Toc217984360"/>
      <w:bookmarkStart w:id="476" w:name="_Toc225513308"/>
      <w:r>
        <w:rPr>
          <w:rFonts w:hint="eastAsia" w:ascii="仿宋_GB2312"/>
          <w:color w:val="auto"/>
        </w:rPr>
        <w:t>三、强化师资队伍建设，激发教育发展活力</w:t>
      </w:r>
      <w:bookmarkEnd w:id="475"/>
      <w:bookmarkEnd w:id="476"/>
    </w:p>
    <w:p w14:paraId="412EAAD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完善高素质教师队伍引进、培养与发展体系。创新教师补充与提升机制，积极争取省部属公费师范生，落实“优师计划”、省部属重点师范大学本科毕业生选聘政策，持续实施优秀教师“雁归巢”与“回家计划”，落实国家“特岗计划”政策。健全师德师风建设长效机制，严把教师入口关，加强教师思想政治与业务能力培训，弘扬和践行教育家精神。完善管理与激励保障，强化教师待遇保障，激发教师教书育人的积极性和创造性。推动教师合理流动，探索建立动态师资配置机制，缩小城乡教师队伍水平差距。</w:t>
      </w:r>
    </w:p>
    <w:p w14:paraId="365C8C9D">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477" w:name="_Toc217984361"/>
      <w:bookmarkStart w:id="478" w:name="_Toc225513309"/>
      <w:r>
        <w:rPr>
          <w:rFonts w:hint="eastAsia" w:ascii="仿宋_GB2312"/>
          <w:color w:val="auto"/>
        </w:rPr>
        <w:t>四、推动数字化转型与开放合作，增强教育发展动能</w:t>
      </w:r>
      <w:bookmarkEnd w:id="477"/>
      <w:bookmarkEnd w:id="478"/>
    </w:p>
    <w:p w14:paraId="178B37B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深化教育数字化战略，加快“云、网、端”数字教育新型基础设施建设，升级校园网络和设备，建设智慧校园。推进育英中学人工智能教育建设，打造集网络、数据、资源、师训于一体的中心节点。推动人工智能与教育教学深度融合，探索人机协同的个性化教学模式，建设学生数智学习社区，实现大规模因材施教。拓展区域教育协同，深化与首都师范大学、北京市育英中学等优质教育资源的合作，探索“育英模式”本土化应用。通过共建共享、师资交流、教研协同等方式，引入先进教育理念与资源，提升县域教育品质与活力。</w:t>
      </w:r>
    </w:p>
    <w:p w14:paraId="52E4D7F8">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79" w:name="_Toc216989148"/>
      <w:bookmarkStart w:id="480" w:name="_Toc225513310"/>
      <w:bookmarkStart w:id="481" w:name="_Toc211252073"/>
      <w:bookmarkStart w:id="482" w:name="_Toc217984362"/>
      <w:r>
        <w:rPr>
          <w:rFonts w:hint="eastAsia"/>
          <w:color w:val="auto"/>
        </w:rPr>
        <w:t>第二章 提升医疗健康水平</w:t>
      </w:r>
      <w:bookmarkEnd w:id="479"/>
      <w:bookmarkEnd w:id="480"/>
      <w:bookmarkEnd w:id="481"/>
      <w:bookmarkEnd w:id="482"/>
    </w:p>
    <w:p w14:paraId="303E2E4B">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以保障人民健康为核心，完善医疗卫生服务体系，强化公共卫生能力建设，深化医药卫生体制改革，推动医疗卫生事业高质量发展。</w:t>
      </w:r>
    </w:p>
    <w:p w14:paraId="5C82CDFC">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83" w:name="_Toc216989149"/>
      <w:bookmarkStart w:id="484" w:name="_Toc217984363"/>
      <w:bookmarkStart w:id="485" w:name="_Toc225513311"/>
      <w:r>
        <w:rPr>
          <w:rFonts w:hint="eastAsia"/>
          <w:color w:val="auto"/>
        </w:rPr>
        <w:t>一、深化健康平山建设</w:t>
      </w:r>
      <w:bookmarkEnd w:id="483"/>
      <w:bookmarkEnd w:id="484"/>
      <w:bookmarkEnd w:id="485"/>
    </w:p>
    <w:p w14:paraId="2125151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持续深化爱国卫生运动，推动卫生城市创建，构建政府主导、部门协同、全社会参与的工作格局。完善城乡环境卫生治理长效机制，统筹推进垃圾分类、污水管网建设与农村厕所革命，常态化开展村庄清洁和病媒生物防制。广泛创建健康村、社区、学校、家庭等载体，将健康理念融入生产生活。实施健康平山行动，构建全媒体健康科普传播机制，普及文明健康、绿色环保生活方式，持续提升全民健康水平。</w:t>
      </w:r>
    </w:p>
    <w:p w14:paraId="26A7C7D6">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86" w:name="_Toc225513312"/>
      <w:bookmarkStart w:id="487" w:name="_Toc216989151"/>
      <w:bookmarkStart w:id="488" w:name="_Toc217984365"/>
      <w:r>
        <w:rPr>
          <w:rFonts w:hint="eastAsia"/>
          <w:color w:val="auto"/>
        </w:rPr>
        <w:t>二、完善医疗基础设施</w:t>
      </w:r>
      <w:bookmarkEnd w:id="486"/>
      <w:bookmarkEnd w:id="487"/>
      <w:bookmarkEnd w:id="488"/>
    </w:p>
    <w:p w14:paraId="0DAA2F77">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推进县级医院、妇幼保健机构、疾控中心提质升级，加强基层医疗机构标准化建设，构建覆盖县乡村三级的医疗服务网络。重点推进县医院新病房楼医疗设施配置、县中医院综合能力提升等项目落地，优化山区医疗卫生资源布局，提升基层医疗服务水平。</w:t>
      </w:r>
    </w:p>
    <w:p w14:paraId="54EBB016">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89" w:name="_Toc225513313"/>
      <w:bookmarkStart w:id="490" w:name="_Toc216989152"/>
      <w:bookmarkStart w:id="491" w:name="_Toc217984366"/>
      <w:r>
        <w:rPr>
          <w:rFonts w:hint="eastAsia"/>
          <w:color w:val="auto"/>
        </w:rPr>
        <w:t>三、</w:t>
      </w:r>
      <w:r>
        <w:rPr>
          <w:color w:val="auto"/>
        </w:rPr>
        <w:t>强化重点疾病防治</w:t>
      </w:r>
      <w:bookmarkEnd w:id="489"/>
      <w:bookmarkEnd w:id="490"/>
      <w:bookmarkEnd w:id="491"/>
    </w:p>
    <w:p w14:paraId="70CF1D3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构建“预防为主、防治结合、综合施策”的重点疾病防治体系。针对地方病，开展常态化普查与环境监测，实施精准干预；针对艾滋病，扩大检测覆盖面，健全抗病毒治疗网络，落实救治救助政策。深化宣传教育，普及防治知识，消除社会歧视，提升防控实效。</w:t>
      </w:r>
    </w:p>
    <w:p w14:paraId="54A1F13F">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92" w:name="_Toc225513314"/>
      <w:bookmarkStart w:id="493" w:name="_Toc217984367"/>
      <w:bookmarkStart w:id="494" w:name="_Toc216989153"/>
      <w:r>
        <w:rPr>
          <w:rFonts w:hint="eastAsia"/>
          <w:color w:val="auto"/>
        </w:rPr>
        <w:t>四、深化医疗卫生改革</w:t>
      </w:r>
      <w:bookmarkEnd w:id="492"/>
      <w:bookmarkEnd w:id="493"/>
      <w:bookmarkEnd w:id="494"/>
    </w:p>
    <w:p w14:paraId="63B0E55C">
      <w:pPr>
        <w:pageBreakBefore w:val="0"/>
        <w:widowControl w:val="0"/>
        <w:kinsoku/>
        <w:wordWrap/>
        <w:overflowPunct/>
        <w:topLinePunct w:val="0"/>
        <w:autoSpaceDE/>
        <w:autoSpaceDN/>
        <w:bidi w:val="0"/>
        <w:adjustRightInd/>
        <w:snapToGrid/>
        <w:spacing w:line="580" w:lineRule="exact"/>
        <w:ind w:firstLine="640"/>
        <w:textAlignment w:val="auto"/>
        <w:rPr>
          <w:rFonts w:hint="eastAsia"/>
          <w:b/>
          <w:color w:val="auto"/>
        </w:rPr>
      </w:pPr>
      <w:r>
        <w:rPr>
          <w:rFonts w:hint="eastAsia"/>
          <w:color w:val="auto"/>
        </w:rPr>
        <w:t>持续推进县域医共体建设，优化医疗资源配置，健全分级诊疗制度，完善双向转诊机制，提升基层医疗机构服务能力。加强医疗卫生行业综合监管，规范医疗服务行为与诊疗流程，推行医疗服务价格动态调整机制，减轻群众就医负担。推动中医药传承创新发展，推广中医适宜技术，建设中西医协同诊疗体系。强化卫生健康人才队伍建设，完善人才培养、引进与激励机制，提升医疗卫生服务专业化、规范化水平。</w:t>
      </w:r>
    </w:p>
    <w:p w14:paraId="145BF4B5">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95" w:name="_Toc217984368"/>
      <w:bookmarkStart w:id="496" w:name="_Toc216989154"/>
      <w:bookmarkStart w:id="497" w:name="_Toc225513315"/>
      <w:bookmarkStart w:id="498" w:name="_Toc211252074"/>
      <w:r>
        <w:rPr>
          <w:rFonts w:hint="eastAsia"/>
          <w:color w:val="auto"/>
        </w:rPr>
        <w:t>第三章 完善就业社保体系</w:t>
      </w:r>
      <w:bookmarkEnd w:id="495"/>
      <w:bookmarkEnd w:id="496"/>
      <w:bookmarkEnd w:id="497"/>
      <w:bookmarkEnd w:id="498"/>
    </w:p>
    <w:p w14:paraId="26C7880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坚持就业优先战略，加强就业创业服务，健全分层分类的社会保障体系，强化重点群体保障，兜紧兜牢民生底线。</w:t>
      </w:r>
    </w:p>
    <w:p w14:paraId="4FB9C723">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499" w:name="_Toc217984369"/>
      <w:bookmarkStart w:id="500" w:name="_Toc216989155"/>
      <w:bookmarkStart w:id="501" w:name="_Toc225513316"/>
      <w:r>
        <w:rPr>
          <w:rFonts w:hint="eastAsia"/>
          <w:color w:val="auto"/>
        </w:rPr>
        <w:t>一、促进就业创业增收</w:t>
      </w:r>
      <w:bookmarkEnd w:id="499"/>
      <w:bookmarkEnd w:id="500"/>
      <w:bookmarkEnd w:id="501"/>
    </w:p>
    <w:p w14:paraId="251960B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健全城乡就业公共服务体系，强化劳动力市场供需精准对接。针对县域产业升级和新质生产力发展需求，开展订单式、定岗式职业技能培训，重点培育焊接、数控、电商运营等紧缺技能人才，提升劳动力就业适配性。健全重点群体就业帮扶机制，为高校毕业生提供创业补贴、就业见习岗位，为农村劳动力搭建劳务输出平台，为脱贫人口、残疾人等困难群体开发公益性岗位，确保零就业家庭动态清零。优化创业扶持政策，扩大创业担保贷款覆盖范围，完善创业孵化功能，为返乡创业人员提供场地支持、政策咨询、资源对接等一体化服务，激发创业带动就业的倍增效应。加强劳动保障监察，规范劳动关系，健全工资支付保障机制，严厉打击拖欠农民工工资等违法行为，维护劳动者合法权益。</w:t>
      </w:r>
    </w:p>
    <w:p w14:paraId="599FD52C">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02" w:name="_Toc225513317"/>
      <w:bookmarkStart w:id="503" w:name="_Toc217984371"/>
      <w:bookmarkStart w:id="504" w:name="_Toc216989157"/>
      <w:r>
        <w:rPr>
          <w:rFonts w:hint="eastAsia"/>
          <w:color w:val="auto"/>
        </w:rPr>
        <w:t>二、健全社会保障体系</w:t>
      </w:r>
      <w:bookmarkEnd w:id="502"/>
      <w:bookmarkEnd w:id="503"/>
      <w:bookmarkEnd w:id="504"/>
    </w:p>
    <w:p w14:paraId="63C1D58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稳步扩大社会保险覆盖范围，推进基本养老保险、医疗保险应保尽保，提高灵活就业人员、新业态从业者参保率。完善城乡居民养老保险待遇调整机制，逐步提高基础养老金水平。健全基本医疗保险筹资和待遇保障机制，稳步提升医疗保障水平。健全社会救助体系，完善低保、特困供养、临时救助等政策衔接机制，精准落实救助措施，兜住困难群众基本生活底线。加强特殊群体关爱保护，健全留守儿童、困境儿童、残疾人关爱服务体系，完善流浪乞讨人员救助管理机制，保障特殊群体合法权益。</w:t>
      </w:r>
    </w:p>
    <w:p w14:paraId="1E2935AC">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05" w:name="_Toc217984372"/>
      <w:bookmarkStart w:id="506" w:name="_Toc225513318"/>
      <w:bookmarkStart w:id="507" w:name="_Toc216989158"/>
      <w:r>
        <w:rPr>
          <w:rFonts w:hint="eastAsia"/>
          <w:color w:val="auto"/>
        </w:rPr>
        <w:t>三、优化殡葬服务供给</w:t>
      </w:r>
      <w:bookmarkEnd w:id="505"/>
      <w:bookmarkEnd w:id="506"/>
      <w:bookmarkEnd w:id="507"/>
    </w:p>
    <w:p w14:paraId="2DFCBF9B">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健全殡葬服务体系，强化殡葬行业公益属性，统筹规划县域殡葬服务设施布局，将公墓、骨灰堂、殡仪服务站及乡镇中心公益性墓地建设纳入国土空间规划，保障合理用地需求，补齐公益性殡葬设施短板。推进殡葬服务设施标准化建设，完善殡仪服务站功能配置，为群众提供便捷、文明、普惠的殡葬服务。推动殡葬改革平稳有序开展，满足群众基本殡葬需求。加强殡葬行业规范管理，倡导绿色低碳殡葬理念，推动殡葬服务设施建设与生态环境保护相协调、与城乡发展相适应。</w:t>
      </w:r>
    </w:p>
    <w:p w14:paraId="544F7905">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08" w:name="_Toc225513319"/>
      <w:bookmarkStart w:id="509" w:name="_Toc216989159"/>
      <w:bookmarkStart w:id="510" w:name="_Toc217984373"/>
      <w:r>
        <w:rPr>
          <w:rFonts w:hint="eastAsia"/>
          <w:color w:val="auto"/>
        </w:rPr>
        <w:t>第四章 推动体育强县建设</w:t>
      </w:r>
      <w:bookmarkEnd w:id="508"/>
      <w:bookmarkEnd w:id="509"/>
      <w:bookmarkEnd w:id="510"/>
    </w:p>
    <w:p w14:paraId="07E29B3F">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ascii="仿宋_GB2312" w:hAnsi="仿宋_GB2312" w:cs="仿宋_GB2312"/>
          <w:color w:val="auto"/>
          <w:szCs w:val="32"/>
        </w:rPr>
        <w:t>推动全民健身与全民健康深度融合，为建设体育强县、助力健康中国建设提供坚实支撑，到2030年建成政府主导、社会协同、全民共享的县域体育发展新格局。</w:t>
      </w:r>
    </w:p>
    <w:p w14:paraId="1B6A7EFB">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rPr>
      </w:pPr>
      <w:bookmarkStart w:id="511" w:name="_Toc212753289"/>
      <w:bookmarkStart w:id="512" w:name="_Toc225513320"/>
      <w:bookmarkStart w:id="513" w:name="_Toc217984374"/>
      <w:bookmarkStart w:id="514" w:name="_Toc216989160"/>
      <w:r>
        <w:rPr>
          <w:rFonts w:hint="eastAsia"/>
          <w:color w:val="auto"/>
        </w:rPr>
        <w:t>一、强化体育设施基础，优化公共服务供给</w:t>
      </w:r>
      <w:bookmarkEnd w:id="511"/>
      <w:bookmarkEnd w:id="512"/>
      <w:bookmarkEnd w:id="513"/>
      <w:bookmarkEnd w:id="514"/>
    </w:p>
    <w:p w14:paraId="5F96146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有序推进城乡体育设施建设，在城区升级改造综合性体育场馆，配套建设智能健身步道；在乡镇建设多功能运动场地，行政村实现健身设施全覆盖，推动学校体育设施向社会开放。盘活存量设施资源，建立县域体育设施管理平台，通过经营权改革、社会化运营等方式，降低乡村设施闲置率，提升设施使用效率。</w:t>
      </w:r>
    </w:p>
    <w:p w14:paraId="1B99E6F3">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15" w:name="_Toc216989161"/>
      <w:bookmarkStart w:id="516" w:name="_Toc217984375"/>
      <w:bookmarkStart w:id="517" w:name="_Toc212753290"/>
      <w:bookmarkStart w:id="518" w:name="_Toc225513321"/>
      <w:r>
        <w:rPr>
          <w:rFonts w:hint="eastAsia"/>
          <w:color w:val="auto"/>
        </w:rPr>
        <w:t>二、深化体卫体教融合，强化健康促进作用</w:t>
      </w:r>
      <w:bookmarkEnd w:id="515"/>
      <w:bookmarkEnd w:id="516"/>
      <w:bookmarkEnd w:id="517"/>
      <w:bookmarkEnd w:id="518"/>
    </w:p>
    <w:p w14:paraId="7A3DB3D8">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在乡镇卫生院设立运动健康门诊，开展高血压、糖尿病等慢病运动干预服务。加强青少年体育工作，实施“青少年脊柱健康与视力保护行动”，探索青少年体育比赛模式，完善青少年赛事体系。关注重点人群需求，完善标准化老年健身活动中心和青少年健身活动中心，开展适老化、提前化健身运动服务，实现重点人群健身服务精准覆盖。</w:t>
      </w:r>
    </w:p>
    <w:p w14:paraId="2C294ED2">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rPr>
      </w:pPr>
      <w:bookmarkStart w:id="519" w:name="_Toc216989162"/>
      <w:bookmarkStart w:id="520" w:name="_Toc217984376"/>
      <w:bookmarkStart w:id="521" w:name="_Toc225513322"/>
      <w:bookmarkStart w:id="522" w:name="_Toc212753291"/>
      <w:r>
        <w:rPr>
          <w:rFonts w:hint="eastAsia"/>
          <w:color w:val="auto"/>
        </w:rPr>
        <w:t>三、培育体育人才队伍，夯实发展支撑力量</w:t>
      </w:r>
      <w:bookmarkEnd w:id="519"/>
      <w:bookmarkEnd w:id="520"/>
      <w:bookmarkEnd w:id="521"/>
      <w:bookmarkEnd w:id="522"/>
    </w:p>
    <w:p w14:paraId="47C190C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加强专业队伍建设，培育复合型运动处方师、运动防护师等专业人才，每年开展社会体育指导员培训，优化队伍年龄与专业结构。壮大社会力量，培育体育社会组织，鼓励退役运动员、健身爱好者参与基层体育服务，形成专业化与社会化结合的人才队伍体系。</w:t>
      </w:r>
    </w:p>
    <w:p w14:paraId="67DAF402">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rPr>
      </w:pPr>
      <w:bookmarkStart w:id="523" w:name="_Toc212753292"/>
      <w:bookmarkStart w:id="524" w:name="_Toc217984377"/>
      <w:bookmarkStart w:id="525" w:name="_Toc225513323"/>
      <w:bookmarkStart w:id="526" w:name="_Toc216989163"/>
      <w:r>
        <w:rPr>
          <w:rFonts w:hint="eastAsia"/>
          <w:color w:val="auto"/>
        </w:rPr>
        <w:t>四、发展特色体育产业，激发市场活力动能</w:t>
      </w:r>
      <w:bookmarkEnd w:id="523"/>
      <w:bookmarkEnd w:id="524"/>
      <w:bookmarkEnd w:id="525"/>
      <w:bookmarkEnd w:id="526"/>
    </w:p>
    <w:p w14:paraId="55CFDDE5">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大力发展乡村体育旅游、户外休闲运动等特色业态，培育“体育+文旅”“体育+农业”融合项目。发放体育消费券，激活体育消费市场。培育本土体育用品销售、健身服务等经营主体，提升体育消费便捷度。举办社区运动会、乡村趣味赛事等群众赛事，结合地方文化打造具有县域辨识度的体育赛事IP。</w:t>
      </w:r>
    </w:p>
    <w:p w14:paraId="22808CFC">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rPr>
      </w:pPr>
      <w:bookmarkStart w:id="527" w:name="_Toc225513324"/>
      <w:bookmarkStart w:id="528" w:name="_Toc216989164"/>
      <w:bookmarkStart w:id="529" w:name="_Toc212753293"/>
      <w:bookmarkStart w:id="530" w:name="_Toc217984378"/>
      <w:r>
        <w:rPr>
          <w:rFonts w:hint="eastAsia"/>
          <w:color w:val="auto"/>
        </w:rPr>
        <w:t>五、弘扬体育文化精神，营造全民参与氛围</w:t>
      </w:r>
      <w:bookmarkEnd w:id="527"/>
      <w:bookmarkEnd w:id="528"/>
      <w:bookmarkEnd w:id="529"/>
      <w:bookmarkEnd w:id="530"/>
    </w:p>
    <w:p w14:paraId="38AD5D83">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结合全民健身日等节点开展科普宣传，通过线上平台、线下讲座普及科学健身知识，提升居民健身素养。传承体育精神，将中华体育精神融入群众文体活动，宣传本土体育榜样事迹，推动科学运动成为健康生活方式。深化对外交流，积极参与省市体育赛事与交流活动，引进优质体育资源，提升县域体育影响力。</w:t>
      </w:r>
    </w:p>
    <w:p w14:paraId="6DE94CBE">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31" w:name="_Toc216989165"/>
      <w:bookmarkStart w:id="532" w:name="_Toc217984379"/>
      <w:bookmarkStart w:id="533" w:name="_Toc225513325"/>
      <w:r>
        <w:rPr>
          <w:rFonts w:hint="eastAsia"/>
          <w:color w:val="auto"/>
        </w:rPr>
        <w:t xml:space="preserve">第五章 </w:t>
      </w:r>
      <w:bookmarkEnd w:id="531"/>
      <w:bookmarkEnd w:id="532"/>
      <w:bookmarkStart w:id="534" w:name="OLE_LINK14"/>
      <w:r>
        <w:rPr>
          <w:rFonts w:hint="eastAsia"/>
          <w:color w:val="auto"/>
        </w:rPr>
        <w:t>巩固全国文明城市建设成果</w:t>
      </w:r>
      <w:bookmarkEnd w:id="533"/>
      <w:bookmarkEnd w:id="534"/>
    </w:p>
    <w:p w14:paraId="2A321347">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35" w:name="OLE_LINK12"/>
      <w:r>
        <w:rPr>
          <w:rFonts w:hint="eastAsia"/>
          <w:color w:val="auto"/>
        </w:rPr>
        <w:t>践行以人民为中心的发展思想，推动物质文明与精神文明协调发展，持续巩固全国文明城市建设成果，筑牢思想道德根基和社会文明支撑。</w:t>
      </w:r>
    </w:p>
    <w:p w14:paraId="5E1A672E">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36" w:name="_Toc225513326"/>
      <w:r>
        <w:rPr>
          <w:rFonts w:hint="eastAsia"/>
          <w:color w:val="auto"/>
        </w:rPr>
        <w:t>一、全面提升社会文明水平</w:t>
      </w:r>
      <w:bookmarkEnd w:id="536"/>
    </w:p>
    <w:p w14:paraId="35F52821">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以全国文明城市常态化建设为抓手，深化“双争”活动实践，构建“党委领导、政府负责、部门协同、社会参与”的文明建设工作体系。完善城容城貌、交通秩序等专项整治方案，实施公益广告和社会主义核心价值观景观小品常态化排查整改，构建“网格化管理、精细化推进”的创建工作格局。依托县、乡、村三级文明实践阵地，常态化开展移风易俗、文明交通、生态保护等主题文艺演出和志愿服务活动，打造“红色圣地・文明同行”志愿服务品牌。健全向上向善的先进典型培育、宣传、激励机制，持续开展典型选树和推荐活动，形成“选树一个、带动一批、影响一片”的榜样效应。深化未成年人思想道德建设，通过红色教育、实践体验等多种形式，引导青少年传承红色基因、涵养文明素养。</w:t>
      </w:r>
    </w:p>
    <w:bookmarkEnd w:id="535"/>
    <w:p w14:paraId="19113A5B">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37" w:name="_Toc217984380"/>
      <w:bookmarkStart w:id="538" w:name="_Toc216989166"/>
      <w:bookmarkStart w:id="539" w:name="_Toc225513327"/>
      <w:r>
        <w:rPr>
          <w:rFonts w:hint="eastAsia"/>
          <w:color w:val="auto"/>
        </w:rPr>
        <w:t>二、培育儿童友好社会</w:t>
      </w:r>
      <w:bookmarkEnd w:id="537"/>
      <w:bookmarkEnd w:id="538"/>
      <w:bookmarkEnd w:id="539"/>
    </w:p>
    <w:p w14:paraId="44F869A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以儿童需求为导向、权利保障为核心，从空间、服务、权益、文化四方面发力，为县域发展培育健康新生力量。</w:t>
      </w:r>
    </w:p>
    <w:p w14:paraId="08FA3F81">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b/>
          <w:bCs/>
          <w:color w:val="auto"/>
        </w:rPr>
        <w:t>优化生育服务保障。</w:t>
      </w:r>
      <w:r>
        <w:rPr>
          <w:rFonts w:hint="eastAsia" w:ascii="仿宋_GB2312" w:hAnsi="仿宋"/>
          <w:color w:val="auto"/>
        </w:rPr>
        <w:t>倡导积极婚育观，优化生育支持政策和激励政策，落实生育保险和生育休假制度。健全覆盖托育、教育、健康、课后服务的公共服务网络，推进普惠托育扩容，深入开展托育服务工作，新建改扩建公办幼儿园，支持社会力量办托育机构，</w:t>
      </w:r>
      <w:r>
        <w:rPr>
          <w:rFonts w:ascii="仿宋_GB2312" w:hAnsi="仿宋"/>
          <w:color w:val="auto"/>
        </w:rPr>
        <w:t xml:space="preserve"> </w:t>
      </w:r>
      <w:r>
        <w:rPr>
          <w:rFonts w:hint="eastAsia" w:ascii="仿宋_GB2312" w:hAnsi="仿宋"/>
          <w:color w:val="auto"/>
        </w:rPr>
        <w:t>发展普惠托育和托幼一体化服务，减轻家庭教育负担。增设儿童保健专科门诊，建立儿童健康档案，加强妇女儿童健康服务。</w:t>
      </w:r>
    </w:p>
    <w:p w14:paraId="0362F9C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强化儿童权益保护力度。</w:t>
      </w:r>
      <w:r>
        <w:rPr>
          <w:rFonts w:hint="eastAsia" w:ascii="仿宋_GB2312" w:hAnsi="仿宋"/>
          <w:color w:val="auto"/>
        </w:rPr>
        <w:t>开展家庭教育指导活动，提升家长监护教育能力；深化校园安全治理，加强周边环境整治与安全主题教育；设立县级儿童福利服务中心与保护热线，建立特殊儿童动态数据库，落实帮扶政策；完善未成年人案件办理机制，开通法律援助绿色通道，严厉打击侵害儿童权益行为。</w:t>
      </w:r>
    </w:p>
    <w:p w14:paraId="0716015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b/>
          <w:bCs/>
          <w:color w:val="auto"/>
        </w:rPr>
        <w:t>培育儿童友好社会文化。</w:t>
      </w:r>
      <w:r>
        <w:rPr>
          <w:rFonts w:hint="eastAsia" w:ascii="仿宋_GB2312" w:hAnsi="仿宋"/>
          <w:color w:val="auto"/>
        </w:rPr>
        <w:t>营造关心关爱儿童氛围，利用重要节点宣传儿童权益政策与建设成果；培育公益队伍，开展志愿服务；开发红色主题儿童文化产品，举办书画展、红色故事演讲等活动，引导儿童树立正确价值观。</w:t>
      </w:r>
    </w:p>
    <w:p w14:paraId="723D6414">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40" w:name="_Toc217984381"/>
      <w:bookmarkStart w:id="541" w:name="_Toc216989167"/>
      <w:bookmarkStart w:id="542" w:name="_Toc225513328"/>
      <w:bookmarkStart w:id="543" w:name="OLE_LINK1"/>
      <w:r>
        <w:rPr>
          <w:rFonts w:hint="eastAsia"/>
          <w:color w:val="auto"/>
        </w:rPr>
        <w:t>三、增强青年传承力量</w:t>
      </w:r>
      <w:bookmarkEnd w:id="540"/>
      <w:bookmarkEnd w:id="541"/>
      <w:bookmarkEnd w:id="542"/>
    </w:p>
    <w:p w14:paraId="3835436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olor w:val="auto"/>
        </w:rPr>
      </w:pPr>
      <w:r>
        <w:rPr>
          <w:rFonts w:hint="eastAsia" w:ascii="仿宋_GB2312" w:hAnsi="仿宋_GB2312"/>
          <w:color w:val="auto"/>
        </w:rPr>
        <w:t>紧扣</w:t>
      </w:r>
      <w:r>
        <w:rPr>
          <w:rFonts w:ascii="仿宋_GB2312" w:hAnsi="仿宋_GB2312"/>
          <w:color w:val="auto"/>
        </w:rPr>
        <w:t>“</w:t>
      </w:r>
      <w:r>
        <w:rPr>
          <w:rFonts w:hint="eastAsia" w:ascii="仿宋_GB2312" w:hAnsi="仿宋_GB2312"/>
          <w:color w:val="auto"/>
        </w:rPr>
        <w:t>传承红色基因、培育时代新人</w:t>
      </w:r>
      <w:r>
        <w:rPr>
          <w:rFonts w:ascii="仿宋_GB2312" w:hAnsi="仿宋_GB2312"/>
          <w:color w:val="auto"/>
        </w:rPr>
        <w:t>”</w:t>
      </w:r>
      <w:r>
        <w:rPr>
          <w:rFonts w:hint="eastAsia" w:ascii="仿宋_GB2312" w:hAnsi="仿宋_GB2312"/>
          <w:color w:val="auto"/>
        </w:rPr>
        <w:t>核心目标，锚定青少年思想动态与成长需求，构建</w:t>
      </w:r>
      <w:r>
        <w:rPr>
          <w:rFonts w:ascii="仿宋_GB2312" w:hAnsi="仿宋_GB2312"/>
          <w:color w:val="auto"/>
        </w:rPr>
        <w:t>“</w:t>
      </w:r>
      <w:r>
        <w:rPr>
          <w:rFonts w:hint="eastAsia" w:ascii="仿宋_GB2312" w:hAnsi="仿宋_GB2312"/>
          <w:color w:val="auto"/>
        </w:rPr>
        <w:t>思想引领、组织凝聚、服务需求、权益保障、环境优化</w:t>
      </w:r>
      <w:r>
        <w:rPr>
          <w:rFonts w:ascii="仿宋_GB2312" w:hAnsi="仿宋_GB2312"/>
          <w:color w:val="auto"/>
        </w:rPr>
        <w:t>”</w:t>
      </w:r>
      <w:r>
        <w:rPr>
          <w:rFonts w:hint="eastAsia" w:ascii="仿宋_GB2312" w:hAnsi="仿宋_GB2312"/>
          <w:color w:val="auto"/>
        </w:rPr>
        <w:t>五位一体青少年红色培育体系，引领青少年赓续红色血脉，为社会高质量发展注入青春动能。</w:t>
      </w:r>
    </w:p>
    <w:p w14:paraId="6E68D00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b/>
          <w:bCs/>
          <w:color w:val="auto"/>
        </w:rPr>
      </w:pPr>
      <w:r>
        <w:rPr>
          <w:rFonts w:hint="eastAsia" w:ascii="仿宋_GB2312" w:hAnsi="仿宋_GB2312"/>
          <w:b/>
          <w:bCs/>
          <w:color w:val="auto"/>
        </w:rPr>
        <w:t>强化思想引领，筑牢育人根基。</w:t>
      </w:r>
      <w:r>
        <w:rPr>
          <w:rFonts w:hint="eastAsia" w:ascii="仿宋_GB2312" w:hAnsi="仿宋_GB2312"/>
          <w:color w:val="auto"/>
        </w:rPr>
        <w:t>坚持党管青年根本原则，以理想信念教育为核心，深化青少年马克思主义中国化最新理论成果学习教育，融合中华优秀传统文化传承，构建党、团、队一体化育人链条，推动红色教育融入思想淬炼全过程。</w:t>
      </w:r>
    </w:p>
    <w:p w14:paraId="4601095C">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b/>
          <w:bCs/>
          <w:color w:val="auto"/>
        </w:rPr>
      </w:pPr>
      <w:r>
        <w:rPr>
          <w:rFonts w:hint="eastAsia" w:ascii="仿宋_GB2312" w:hAnsi="仿宋_GB2312"/>
          <w:b/>
          <w:bCs/>
          <w:color w:val="auto"/>
        </w:rPr>
        <w:t>聚焦组织凝聚，彰显青春担当。</w:t>
      </w:r>
      <w:r>
        <w:rPr>
          <w:rFonts w:hint="eastAsia" w:ascii="仿宋_GB2312" w:hAnsi="仿宋_GB2312"/>
          <w:color w:val="auto"/>
        </w:rPr>
        <w:t>激活青联社团、学联学生会等组织效能，建强青年志愿服务、创新创业、文体活动等类协会载体。在重点工作一线凸显青年志愿者、青年突击队、青年文明号引领作用，塑造新时代青少年鲜明形象。</w:t>
      </w:r>
    </w:p>
    <w:p w14:paraId="30D0FB72">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b/>
          <w:bCs/>
          <w:color w:val="auto"/>
        </w:rPr>
      </w:pPr>
      <w:r>
        <w:rPr>
          <w:rFonts w:hint="eastAsia" w:ascii="仿宋_GB2312" w:hAnsi="仿宋_GB2312"/>
          <w:b/>
          <w:bCs/>
          <w:color w:val="auto"/>
        </w:rPr>
        <w:t>精准服务需求，增强发展质感。</w:t>
      </w:r>
      <w:r>
        <w:rPr>
          <w:rFonts w:hint="eastAsia" w:ascii="仿宋_GB2312" w:hAnsi="仿宋_GB2312"/>
          <w:color w:val="auto"/>
        </w:rPr>
        <w:t>落实青年优先发展理念，完善县域青少年发展促进政策与公共服务体系。聚焦青年就业创业提质、社会融入适配、婚恋交友助力等关键需求，建强青少年心理健康教育服务体系，切实提升青少年幸福感、获得感、满意度。</w:t>
      </w:r>
    </w:p>
    <w:p w14:paraId="5C4B02E7">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b/>
          <w:bCs/>
          <w:color w:val="auto"/>
        </w:rPr>
      </w:pPr>
      <w:r>
        <w:rPr>
          <w:rFonts w:hint="eastAsia" w:ascii="仿宋_GB2312" w:hAnsi="仿宋_GB2312"/>
          <w:b/>
          <w:bCs/>
          <w:color w:val="auto"/>
        </w:rPr>
        <w:t>抓实权益保障，守护成长底线。</w:t>
      </w:r>
      <w:r>
        <w:rPr>
          <w:rFonts w:hint="eastAsia" w:ascii="仿宋_GB2312" w:hAnsi="仿宋_GB2312"/>
          <w:color w:val="auto"/>
        </w:rPr>
        <w:t>深化青少年法治宣传教育，畅通诉求表达渠道，健全青少年合法权益维护机制。聚焦残障青少年、困境家庭青少年等特殊群体，撬动社会组织专业力量，提供精准化、专业化帮扶服务，筑牢青少年成长安全屏障。</w:t>
      </w:r>
    </w:p>
    <w:p w14:paraId="44BB447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b/>
          <w:bCs/>
          <w:color w:val="auto"/>
        </w:rPr>
      </w:pPr>
      <w:r>
        <w:rPr>
          <w:rFonts w:hint="eastAsia" w:ascii="仿宋_GB2312" w:hAnsi="仿宋_GB2312"/>
          <w:b/>
          <w:bCs/>
          <w:color w:val="auto"/>
        </w:rPr>
        <w:t>优化发展环境，厚植成长沃土。</w:t>
      </w:r>
      <w:r>
        <w:rPr>
          <w:rFonts w:hint="eastAsia" w:ascii="仿宋_GB2312" w:hAnsi="仿宋_GB2312"/>
          <w:color w:val="auto"/>
        </w:rPr>
        <w:t>深化青年发展友好型县域建设，联动实施青年驿站、青年夜校等惠青实事项目。丰富青少年红色文化、体育赛事等活动供给，选树青少年先进典型，引领青年深度参与青春建功中国式现代化行动，营造全社会关心支持青少年发展的浓厚氛围。</w:t>
      </w:r>
    </w:p>
    <w:bookmarkEnd w:id="543"/>
    <w:p w14:paraId="5F3F50D1">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44" w:name="_Toc216989168"/>
      <w:bookmarkStart w:id="545" w:name="_Toc225513329"/>
      <w:bookmarkStart w:id="546" w:name="_Toc217984382"/>
      <w:r>
        <w:rPr>
          <w:rFonts w:hint="eastAsia"/>
          <w:color w:val="auto"/>
        </w:rPr>
        <w:t>四、满足老年幸福需求</w:t>
      </w:r>
      <w:bookmarkEnd w:id="544"/>
      <w:bookmarkEnd w:id="545"/>
      <w:bookmarkEnd w:id="546"/>
    </w:p>
    <w:p w14:paraId="1B0C40D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顺应人口老龄化发展趋势，健全养老服务体系，提升养老服务质量，满足老年人多样化养老需求，营造敬老爱老社会氛围。优化县、乡、村三级养老服务设施布局，提升县级养老服务指导中心、乡镇区域养老服务中心、农村互助幸福院服务功能，支持社会力量参与养老服务，扩大养老服务供给。依托医疗卫生资源，为老年人提供医疗护理、康复保健、生活照料一体化服务。健全老年人补贴制度，完善老年人医保、社保保障，探索建立长期护理保险制度，保障老年人基本生活。推进老年教育发展，丰富老年人精神文化生活。探索发展银发经济，增进老年人福祉。</w:t>
      </w:r>
    </w:p>
    <w:p w14:paraId="39CA537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p w14:paraId="769CAF4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p w14:paraId="6D071CC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p w14:paraId="4A972C4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p w14:paraId="1EFDE5F1">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p w14:paraId="637C7BAC">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p w14:paraId="4AC91BA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tbl>
      <w:tblPr>
        <w:tblStyle w:val="32"/>
        <w:tblW w:w="84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84"/>
      </w:tblGrid>
      <w:tr w14:paraId="3EFAD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84" w:type="dxa"/>
          </w:tcPr>
          <w:p w14:paraId="40211715">
            <w:pPr>
              <w:ind w:firstLine="0" w:firstLineChars="0"/>
              <w:jc w:val="center"/>
              <w:rPr>
                <w:rFonts w:hint="eastAsia" w:ascii="宋体" w:hAnsi="宋体" w:eastAsia="宋体"/>
                <w:b/>
                <w:bCs/>
                <w:color w:val="auto"/>
                <w:kern w:val="0"/>
                <w:sz w:val="24"/>
                <w:szCs w:val="24"/>
              </w:rPr>
            </w:pPr>
            <w:r>
              <w:rPr>
                <w:rFonts w:hint="eastAsia" w:ascii="宋体" w:hAnsi="宋体" w:eastAsia="宋体"/>
                <w:b/>
                <w:bCs/>
                <w:color w:val="auto"/>
                <w:kern w:val="0"/>
                <w:sz w:val="24"/>
                <w:szCs w:val="24"/>
              </w:rPr>
              <w:t>专栏7：民生领域</w:t>
            </w:r>
          </w:p>
          <w:p w14:paraId="507F4E54">
            <w:pPr>
              <w:ind w:firstLine="0" w:firstLineChars="0"/>
              <w:rPr>
                <w:rFonts w:hint="eastAsia" w:ascii="宋体" w:hAnsi="宋体" w:eastAsia="宋体"/>
                <w:color w:val="auto"/>
                <w:kern w:val="0"/>
                <w:sz w:val="24"/>
                <w:szCs w:val="24"/>
                <w:lang w:val="zh-CN"/>
              </w:rPr>
            </w:pPr>
            <w:r>
              <w:rPr>
                <w:rFonts w:hint="eastAsia" w:ascii="宋体" w:hAnsi="宋体" w:eastAsia="宋体"/>
                <w:b/>
                <w:bCs/>
                <w:color w:val="auto"/>
                <w:kern w:val="0"/>
                <w:sz w:val="24"/>
                <w:szCs w:val="24"/>
                <w:lang w:val="zh-CN"/>
              </w:rPr>
              <w:t>1.优质教育扩容工程：</w:t>
            </w:r>
            <w:r>
              <w:rPr>
                <w:rFonts w:hint="eastAsia" w:ascii="宋体" w:hAnsi="宋体" w:eastAsia="宋体"/>
                <w:color w:val="auto"/>
                <w:kern w:val="0"/>
                <w:sz w:val="24"/>
                <w:szCs w:val="24"/>
                <w:lang w:val="zh-CN"/>
              </w:rPr>
              <w:t>优化教育空间布局，新建、改扩建中小学与幼儿园，补齐城区学位短板，推进城乡教育资源均衡配置。深化教育数字化转型，推进智慧校园与人工智能教育建设，引入京津优质教育资源开展合作，提升教学质量与师资水平。</w:t>
            </w:r>
          </w:p>
          <w:p w14:paraId="3EECD437">
            <w:pPr>
              <w:ind w:firstLine="0" w:firstLineChars="0"/>
              <w:rPr>
                <w:rFonts w:hint="eastAsia" w:ascii="宋体" w:hAnsi="宋体" w:eastAsia="宋体"/>
                <w:color w:val="auto"/>
                <w:kern w:val="0"/>
                <w:sz w:val="24"/>
                <w:szCs w:val="24"/>
                <w:lang w:val="zh-CN"/>
              </w:rPr>
            </w:pPr>
            <w:r>
              <w:rPr>
                <w:rFonts w:hint="eastAsia" w:ascii="宋体" w:hAnsi="宋体" w:eastAsia="宋体"/>
                <w:b/>
                <w:bCs/>
                <w:color w:val="auto"/>
                <w:kern w:val="0"/>
                <w:sz w:val="24"/>
                <w:szCs w:val="24"/>
                <w:lang w:val="zh-CN"/>
              </w:rPr>
              <w:t>2.医疗健康提升工程：</w:t>
            </w:r>
            <w:r>
              <w:rPr>
                <w:rFonts w:hint="eastAsia" w:ascii="宋体" w:hAnsi="宋体" w:eastAsia="宋体"/>
                <w:color w:val="auto"/>
                <w:kern w:val="0"/>
                <w:sz w:val="24"/>
                <w:szCs w:val="24"/>
                <w:lang w:val="zh-CN"/>
              </w:rPr>
              <w:t>完善县乡村三级医疗服务网络，推进县级医院提质改造与基层医疗机构标准化建设。深化医供体建设与分级诊疗，优化生育服务保障，发展普惠托育与托幼一体化服务，加强妇女儿童健康服务。</w:t>
            </w:r>
          </w:p>
          <w:p w14:paraId="1E962ACF">
            <w:pPr>
              <w:ind w:firstLine="0" w:firstLineChars="0"/>
              <w:rPr>
                <w:rFonts w:hint="eastAsia" w:ascii="宋体" w:hAnsi="宋体" w:eastAsia="宋体"/>
                <w:color w:val="auto"/>
                <w:kern w:val="0"/>
                <w:sz w:val="24"/>
                <w:szCs w:val="24"/>
                <w:lang w:val="zh-CN"/>
              </w:rPr>
            </w:pPr>
            <w:r>
              <w:rPr>
                <w:rFonts w:hint="eastAsia" w:ascii="宋体" w:hAnsi="宋体" w:eastAsia="宋体"/>
                <w:b/>
                <w:bCs/>
                <w:color w:val="auto"/>
                <w:kern w:val="0"/>
                <w:sz w:val="24"/>
                <w:szCs w:val="24"/>
                <w:lang w:val="zh-CN"/>
              </w:rPr>
              <w:t>3.养老服务完善工程：</w:t>
            </w:r>
            <w:r>
              <w:rPr>
                <w:rFonts w:hint="eastAsia" w:ascii="宋体" w:hAnsi="宋体" w:eastAsia="宋体"/>
                <w:color w:val="auto"/>
                <w:kern w:val="0"/>
                <w:sz w:val="24"/>
                <w:szCs w:val="24"/>
                <w:lang w:val="zh-CN"/>
              </w:rPr>
              <w:t>健全县乡村三级养老服务网络，提升养老服务设施功能，支持社会力量参与养老服务。推进医养结合发展，发展智慧养老，满足老年人多样化需求。</w:t>
            </w:r>
          </w:p>
          <w:p w14:paraId="01F4FF1A">
            <w:pPr>
              <w:ind w:firstLine="0" w:firstLineChars="0"/>
              <w:rPr>
                <w:rFonts w:hint="eastAsia" w:ascii="宋体" w:hAnsi="宋体" w:eastAsia="宋体"/>
                <w:color w:val="auto"/>
                <w:kern w:val="0"/>
                <w:sz w:val="24"/>
                <w:szCs w:val="24"/>
                <w:highlight w:val="yellow"/>
                <w:lang w:val="zh-CN"/>
              </w:rPr>
            </w:pPr>
            <w:r>
              <w:rPr>
                <w:rFonts w:hint="eastAsia" w:ascii="宋体" w:hAnsi="宋体" w:eastAsia="宋体"/>
                <w:b/>
                <w:bCs/>
                <w:color w:val="auto"/>
                <w:kern w:val="0"/>
                <w:sz w:val="24"/>
                <w:szCs w:val="24"/>
                <w:lang w:val="zh-CN"/>
              </w:rPr>
              <w:t>4.“四馆一中心”建设：</w:t>
            </w:r>
            <w:r>
              <w:rPr>
                <w:rFonts w:hint="eastAsia" w:ascii="宋体" w:hAnsi="宋体" w:eastAsia="宋体"/>
                <w:color w:val="auto"/>
                <w:kern w:val="0"/>
                <w:sz w:val="24"/>
                <w:szCs w:val="24"/>
                <w:lang w:val="zh-CN"/>
              </w:rPr>
              <w:t>谋划逐步推进图书馆、美术馆、体育馆、文化馆和市民活动中心建设。</w:t>
            </w:r>
          </w:p>
          <w:p w14:paraId="2EEB28E4">
            <w:pPr>
              <w:ind w:firstLine="0" w:firstLineChars="0"/>
              <w:rPr>
                <w:rFonts w:hint="eastAsia" w:ascii="宋体" w:hAnsi="宋体" w:eastAsia="宋体"/>
                <w:color w:val="auto"/>
                <w:kern w:val="0"/>
                <w:sz w:val="24"/>
                <w:szCs w:val="24"/>
                <w:lang w:val="zh-CN"/>
              </w:rPr>
            </w:pPr>
            <w:r>
              <w:rPr>
                <w:rFonts w:hint="eastAsia" w:ascii="宋体" w:hAnsi="宋体" w:eastAsia="宋体"/>
                <w:b/>
                <w:bCs/>
                <w:color w:val="auto"/>
                <w:kern w:val="0"/>
                <w:sz w:val="24"/>
                <w:szCs w:val="24"/>
                <w:lang w:val="zh-CN"/>
              </w:rPr>
              <w:t>5.就业社保强化工程：</w:t>
            </w:r>
            <w:r>
              <w:rPr>
                <w:rFonts w:hint="eastAsia" w:ascii="宋体" w:hAnsi="宋体" w:eastAsia="宋体"/>
                <w:color w:val="auto"/>
                <w:kern w:val="0"/>
                <w:sz w:val="24"/>
                <w:szCs w:val="24"/>
                <w:lang w:val="zh-CN"/>
              </w:rPr>
              <w:t>加强重点群体就业技能培训与创业扶持，拓宽就业增收渠道，保障劳动者合法权益。扩大养老保险、医疗保险参保覆盖，完善社会救助体系，精准落实低保、特困供养等政策，兜牢民生底线。</w:t>
            </w:r>
          </w:p>
          <w:p w14:paraId="0E8C7F43">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lang w:val="zh-CN"/>
              </w:rPr>
              <w:t>6.殡葬服务优化工程：</w:t>
            </w:r>
            <w:r>
              <w:rPr>
                <w:rFonts w:hint="eastAsia" w:ascii="宋体" w:hAnsi="宋体" w:eastAsia="宋体"/>
                <w:color w:val="auto"/>
                <w:kern w:val="0"/>
                <w:sz w:val="24"/>
                <w:szCs w:val="24"/>
                <w:lang w:val="zh-CN"/>
              </w:rPr>
              <w:t>统筹规划县域殡葬服务设施，建设公益性公墓、骨灰堂与殡仪服务站，补齐设施短板。推进殡葬服务标准化建设，倡导绿色低碳殡葬理念，完善殡葬服务体系。</w:t>
            </w:r>
          </w:p>
        </w:tc>
      </w:tr>
    </w:tbl>
    <w:p w14:paraId="38D4AC01">
      <w:pPr>
        <w:widowControl/>
        <w:spacing w:line="240" w:lineRule="auto"/>
        <w:ind w:firstLine="0" w:firstLineChars="0"/>
        <w:jc w:val="left"/>
        <w:rPr>
          <w:rFonts w:hint="eastAsia" w:eastAsia="黑体"/>
          <w:b/>
          <w:bCs/>
          <w:color w:val="auto"/>
          <w:kern w:val="44"/>
          <w:szCs w:val="44"/>
        </w:rPr>
      </w:pPr>
      <w:r>
        <w:rPr>
          <w:rFonts w:hint="eastAsia"/>
          <w:color w:val="auto"/>
        </w:rPr>
        <w:br w:type="page"/>
      </w:r>
    </w:p>
    <w:p w14:paraId="51D77B14">
      <w:pPr>
        <w:pStyle w:val="2"/>
        <w:pageBreakBefore w:val="0"/>
        <w:widowControl w:val="0"/>
        <w:kinsoku/>
        <w:wordWrap/>
        <w:overflowPunct/>
        <w:topLinePunct w:val="0"/>
        <w:autoSpaceDE/>
        <w:autoSpaceDN/>
        <w:bidi w:val="0"/>
        <w:adjustRightInd/>
        <w:snapToGrid/>
        <w:spacing w:line="580" w:lineRule="exact"/>
        <w:ind w:firstLine="643"/>
        <w:textAlignment w:val="auto"/>
        <w:rPr>
          <w:rFonts w:hint="eastAsia"/>
          <w:color w:val="auto"/>
        </w:rPr>
      </w:pPr>
      <w:bookmarkStart w:id="547" w:name="_Toc216989169"/>
      <w:bookmarkStart w:id="548" w:name="_Toc225513330"/>
      <w:bookmarkStart w:id="549" w:name="_Toc217984383"/>
      <w:r>
        <w:rPr>
          <w:rFonts w:hint="eastAsia"/>
          <w:color w:val="auto"/>
        </w:rPr>
        <w:t xml:space="preserve">第十篇 </w:t>
      </w:r>
      <w:bookmarkEnd w:id="464"/>
      <w:bookmarkEnd w:id="465"/>
      <w:r>
        <w:rPr>
          <w:rFonts w:hint="eastAsia"/>
          <w:color w:val="auto"/>
        </w:rPr>
        <w:t>统筹发展和安全，建设高水平平安平山</w:t>
      </w:r>
      <w:bookmarkEnd w:id="547"/>
      <w:bookmarkEnd w:id="548"/>
      <w:bookmarkEnd w:id="549"/>
    </w:p>
    <w:p w14:paraId="52998A80">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550" w:name="_Toc211252060"/>
      <w:bookmarkStart w:id="551" w:name="_Toc211252022"/>
      <w:bookmarkStart w:id="552" w:name="_Toc211252026"/>
      <w:bookmarkStart w:id="553" w:name="_Toc211252064"/>
      <w:bookmarkStart w:id="554" w:name="_Toc211252068"/>
      <w:r>
        <w:rPr>
          <w:rFonts w:hint="eastAsia" w:ascii="仿宋_GB2312"/>
          <w:color w:val="auto"/>
        </w:rPr>
        <w:t>落实党的二十届四中全会“统筹发展和安全”战略部署，树牢安全发展理念，促进高质量发展和高水平安全良性互动，营造和维护有利于经济社会高质量发展的安全环境。</w:t>
      </w:r>
    </w:p>
    <w:p w14:paraId="67634157">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55" w:name="_Toc225513331"/>
      <w:bookmarkStart w:id="556" w:name="_Toc216989170"/>
      <w:bookmarkStart w:id="557" w:name="_Toc217984384"/>
      <w:r>
        <w:rPr>
          <w:rFonts w:hint="eastAsia"/>
          <w:color w:val="auto"/>
        </w:rPr>
        <w:t>第一章 树牢系统观念，筑牢安全发展防线</w:t>
      </w:r>
      <w:bookmarkEnd w:id="555"/>
    </w:p>
    <w:p w14:paraId="65CE9593">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坚定不移贯彻总体国家安全观，把安全发展贯穿于经济社会发展各领域、全过程，全面加强重点领域安全能力建设，更好统筹发展和安全。</w:t>
      </w:r>
    </w:p>
    <w:p w14:paraId="414D029E">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58" w:name="_Toc225513332"/>
      <w:bookmarkStart w:id="559" w:name="_Toc1306"/>
      <w:bookmarkStart w:id="560" w:name="_Toc25146"/>
      <w:r>
        <w:rPr>
          <w:color w:val="auto"/>
        </w:rPr>
        <w:t>一、</w:t>
      </w:r>
      <w:r>
        <w:rPr>
          <w:rFonts w:hint="eastAsia"/>
          <w:color w:val="auto"/>
        </w:rPr>
        <w:t>筑牢</w:t>
      </w:r>
      <w:r>
        <w:rPr>
          <w:color w:val="auto"/>
        </w:rPr>
        <w:t>国家安全</w:t>
      </w:r>
      <w:r>
        <w:rPr>
          <w:rFonts w:hint="eastAsia"/>
          <w:color w:val="auto"/>
        </w:rPr>
        <w:t>防线</w:t>
      </w:r>
      <w:bookmarkEnd w:id="558"/>
    </w:p>
    <w:p w14:paraId="426A358C">
      <w:pPr>
        <w:pageBreakBefore w:val="0"/>
        <w:widowControl w:val="0"/>
        <w:kinsoku/>
        <w:wordWrap/>
        <w:overflowPunct/>
        <w:topLinePunct w:val="0"/>
        <w:autoSpaceDE/>
        <w:autoSpaceDN/>
        <w:bidi w:val="0"/>
        <w:adjustRightInd/>
        <w:snapToGrid/>
        <w:spacing w:before="156" w:beforeLines="50" w:line="580" w:lineRule="exact"/>
        <w:ind w:firstLine="640"/>
        <w:textAlignment w:val="auto"/>
        <w:rPr>
          <w:rFonts w:ascii="Times New Roman" w:hAnsi="Times New Roman" w:cs="Times New Roman"/>
          <w:bCs/>
          <w:color w:val="auto"/>
          <w:szCs w:val="32"/>
        </w:rPr>
      </w:pPr>
      <w:r>
        <w:rPr>
          <w:rFonts w:ascii="Times New Roman" w:hAnsi="Times New Roman" w:cs="Times New Roman"/>
          <w:bCs/>
          <w:color w:val="auto"/>
          <w:szCs w:val="32"/>
        </w:rPr>
        <w:t>坚持党对国家安全工作的绝对领导，严格落实国家安全责任制，把捍卫政治安全摆在首位，加强国家安全能力建设，完善国家安全风险防控体系，严密防范和严厉打击敌对势力渗透、破坏、颠覆、分裂活动，坚定维护国家政权安全、制度安全</w:t>
      </w:r>
      <w:r>
        <w:rPr>
          <w:rFonts w:hint="eastAsia" w:ascii="Times New Roman" w:hAnsi="Times New Roman" w:cs="Times New Roman"/>
          <w:bCs/>
          <w:color w:val="auto"/>
          <w:szCs w:val="32"/>
        </w:rPr>
        <w:t>，</w:t>
      </w:r>
      <w:r>
        <w:rPr>
          <w:rFonts w:ascii="Times New Roman" w:hAnsi="Times New Roman" w:cs="Times New Roman"/>
          <w:bCs/>
          <w:color w:val="auto"/>
          <w:szCs w:val="32"/>
        </w:rPr>
        <w:t>夯实国家安全基础保障。加强国家安全教育，筑牢国家安全人民防线。</w:t>
      </w:r>
    </w:p>
    <w:bookmarkEnd w:id="559"/>
    <w:bookmarkEnd w:id="560"/>
    <w:p w14:paraId="7F952701">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61" w:name="_Toc225513333"/>
      <w:r>
        <w:rPr>
          <w:rFonts w:hint="eastAsia"/>
          <w:color w:val="auto"/>
        </w:rPr>
        <w:t>二、落实意识形态工作责任制</w:t>
      </w:r>
      <w:bookmarkEnd w:id="561"/>
    </w:p>
    <w:p w14:paraId="180647D4">
      <w:pPr>
        <w:pageBreakBefore w:val="0"/>
        <w:widowControl w:val="0"/>
        <w:kinsoku/>
        <w:wordWrap/>
        <w:overflowPunct/>
        <w:topLinePunct w:val="0"/>
        <w:autoSpaceDE/>
        <w:autoSpaceDN/>
        <w:bidi w:val="0"/>
        <w:adjustRightInd/>
        <w:snapToGrid/>
        <w:spacing w:before="156" w:beforeLines="50" w:line="580" w:lineRule="exact"/>
        <w:ind w:firstLine="640"/>
        <w:textAlignment w:val="auto"/>
        <w:rPr>
          <w:rFonts w:ascii="Times New Roman" w:hAnsi="Times New Roman" w:cs="Times New Roman"/>
          <w:bCs/>
          <w:color w:val="auto"/>
          <w:szCs w:val="32"/>
        </w:rPr>
      </w:pPr>
      <w:r>
        <w:rPr>
          <w:rFonts w:hint="eastAsia" w:ascii="Times New Roman" w:hAnsi="Times New Roman" w:cs="Times New Roman"/>
          <w:bCs/>
          <w:color w:val="auto"/>
          <w:szCs w:val="32"/>
        </w:rPr>
        <w:t>坚持</w:t>
      </w:r>
      <w:r>
        <w:rPr>
          <w:rFonts w:ascii="Times New Roman" w:hAnsi="Times New Roman" w:cs="Times New Roman"/>
          <w:bCs/>
          <w:color w:val="auto"/>
          <w:szCs w:val="32"/>
        </w:rPr>
        <w:t>用党的创新理论武装全党、教育人民、指导实践工作体系，常态化开展面向基层的理论宣讲，加强各类意识形态阵地管理。</w:t>
      </w:r>
      <w:r>
        <w:rPr>
          <w:rFonts w:hint="eastAsia" w:ascii="Times New Roman" w:hAnsi="Times New Roman" w:cs="Times New Roman"/>
          <w:bCs/>
          <w:color w:val="auto"/>
          <w:szCs w:val="32"/>
        </w:rPr>
        <w:t>建好用好县</w:t>
      </w:r>
      <w:r>
        <w:rPr>
          <w:rFonts w:ascii="Times New Roman" w:hAnsi="Times New Roman" w:cs="Times New Roman"/>
          <w:bCs/>
          <w:color w:val="auto"/>
          <w:szCs w:val="32"/>
        </w:rPr>
        <w:t>级融媒体中心，完善舆论引导机制和舆情应对协同机制，深化网络生态治理工作，持续开展</w:t>
      </w:r>
      <w:r>
        <w:rPr>
          <w:rFonts w:hint="eastAsia" w:ascii="Times New Roman" w:hAnsi="Times New Roman" w:cs="Times New Roman"/>
          <w:bCs/>
          <w:color w:val="auto"/>
          <w:szCs w:val="32"/>
        </w:rPr>
        <w:t>“</w:t>
      </w:r>
      <w:r>
        <w:rPr>
          <w:rFonts w:ascii="Times New Roman" w:hAnsi="Times New Roman" w:cs="Times New Roman"/>
          <w:bCs/>
          <w:color w:val="auto"/>
          <w:szCs w:val="32"/>
        </w:rPr>
        <w:t>清朗</w:t>
      </w:r>
      <w:r>
        <w:rPr>
          <w:rFonts w:ascii="Times New Roman" w:hAnsi="Times New Roman" w:cs="Times New Roman"/>
          <w:b/>
          <w:color w:val="auto"/>
          <w:szCs w:val="32"/>
        </w:rPr>
        <w:t>·</w:t>
      </w:r>
      <w:r>
        <w:rPr>
          <w:rFonts w:ascii="Times New Roman" w:hAnsi="Times New Roman" w:cs="Times New Roman"/>
          <w:bCs/>
          <w:color w:val="auto"/>
          <w:szCs w:val="32"/>
        </w:rPr>
        <w:t>燕赵净网</w:t>
      </w:r>
      <w:r>
        <w:rPr>
          <w:rFonts w:hint="eastAsia" w:ascii="Times New Roman" w:hAnsi="Times New Roman" w:cs="Times New Roman"/>
          <w:bCs/>
          <w:color w:val="auto"/>
          <w:szCs w:val="32"/>
        </w:rPr>
        <w:t>”</w:t>
      </w:r>
      <w:r>
        <w:rPr>
          <w:rFonts w:ascii="Times New Roman" w:hAnsi="Times New Roman" w:cs="Times New Roman"/>
          <w:bCs/>
          <w:color w:val="auto"/>
          <w:szCs w:val="32"/>
        </w:rPr>
        <w:t>专项行动，推进新闻宣传和网络舆论一体化管理。</w:t>
      </w:r>
    </w:p>
    <w:p w14:paraId="43FE4A3C">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62" w:name="_Toc225513334"/>
      <w:bookmarkStart w:id="563" w:name="_Toc341"/>
      <w:bookmarkStart w:id="564" w:name="_Toc31693"/>
      <w:r>
        <w:rPr>
          <w:rFonts w:hint="eastAsia"/>
          <w:color w:val="auto"/>
        </w:rPr>
        <w:t>三、防范化解重点领域风险</w:t>
      </w:r>
      <w:bookmarkEnd w:id="562"/>
    </w:p>
    <w:p w14:paraId="0D72BECF">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olor w:val="auto"/>
        </w:rPr>
      </w:pPr>
      <w:r>
        <w:rPr>
          <w:rFonts w:ascii="仿宋_GB2312" w:hAnsi="仿宋_GB2312"/>
          <w:color w:val="auto"/>
        </w:rPr>
        <w:t>加强政府债务管理，严格执行债务限额与预算管理，坚决遏制隐性债务增量，稳妥化解存量债务，确保债务率控制在安全范围。健全县、乡、村三级金融风险监测网络，常态化开展金融风险排查与预警</w:t>
      </w:r>
      <w:r>
        <w:rPr>
          <w:rFonts w:hint="eastAsia" w:ascii="仿宋_GB2312" w:hAnsi="仿宋_GB2312"/>
          <w:color w:val="auto"/>
        </w:rPr>
        <w:t>，</w:t>
      </w:r>
      <w:r>
        <w:rPr>
          <w:rFonts w:ascii="仿宋_GB2312" w:hAnsi="仿宋_GB2312"/>
          <w:color w:val="auto"/>
        </w:rPr>
        <w:t>强化宣传</w:t>
      </w:r>
      <w:r>
        <w:rPr>
          <w:rFonts w:hint="eastAsia" w:ascii="仿宋_GB2312" w:hAnsi="仿宋_GB2312"/>
          <w:color w:val="auto"/>
        </w:rPr>
        <w:t>和</w:t>
      </w:r>
      <w:r>
        <w:rPr>
          <w:rFonts w:ascii="仿宋_GB2312" w:hAnsi="仿宋_GB2312"/>
          <w:color w:val="auto"/>
        </w:rPr>
        <w:t>高压严打，加快处置非法集资案件</w:t>
      </w:r>
      <w:r>
        <w:rPr>
          <w:rFonts w:hint="eastAsia" w:ascii="仿宋_GB2312" w:hAnsi="仿宋_GB2312"/>
          <w:color w:val="auto"/>
        </w:rPr>
        <w:t>，</w:t>
      </w:r>
      <w:r>
        <w:rPr>
          <w:rFonts w:ascii="仿宋_GB2312" w:hAnsi="仿宋_GB2312"/>
          <w:color w:val="auto"/>
        </w:rPr>
        <w:t>推动关口前移及源头治理，及时处置风险隐患</w:t>
      </w:r>
      <w:r>
        <w:rPr>
          <w:rFonts w:hint="eastAsia" w:ascii="仿宋_GB2312" w:hAnsi="仿宋_GB2312"/>
          <w:color w:val="auto"/>
        </w:rPr>
        <w:t>，</w:t>
      </w:r>
      <w:r>
        <w:rPr>
          <w:rFonts w:ascii="仿宋_GB2312" w:hAnsi="仿宋_GB2312"/>
          <w:color w:val="auto"/>
        </w:rPr>
        <w:t>引导金融机构优化信贷结构，防范金融风险。</w:t>
      </w:r>
      <w:r>
        <w:rPr>
          <w:rFonts w:hint="eastAsia" w:ascii="仿宋_GB2312" w:hAnsi="仿宋_GB2312"/>
          <w:color w:val="auto"/>
        </w:rPr>
        <w:t>落实房地产优化政策，</w:t>
      </w:r>
      <w:r>
        <w:rPr>
          <w:rFonts w:ascii="Times New Roman" w:hAnsi="Times New Roman" w:cs="Times New Roman"/>
          <w:bCs/>
          <w:color w:val="auto"/>
          <w:szCs w:val="32"/>
        </w:rPr>
        <w:t>确保房地产涉稳安全</w:t>
      </w:r>
      <w:r>
        <w:rPr>
          <w:rFonts w:hint="eastAsia" w:ascii="Times New Roman" w:hAnsi="Times New Roman" w:cs="Times New Roman"/>
          <w:bCs/>
          <w:color w:val="auto"/>
          <w:szCs w:val="32"/>
        </w:rPr>
        <w:t>。</w:t>
      </w:r>
    </w:p>
    <w:p w14:paraId="060ECAF8">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65" w:name="_Toc225513335"/>
      <w:r>
        <w:rPr>
          <w:rFonts w:hint="eastAsia"/>
          <w:color w:val="auto"/>
        </w:rPr>
        <w:t>四</w:t>
      </w:r>
      <w:r>
        <w:rPr>
          <w:color w:val="auto"/>
        </w:rPr>
        <w:t>、</w:t>
      </w:r>
      <w:bookmarkEnd w:id="563"/>
      <w:bookmarkEnd w:id="564"/>
      <w:r>
        <w:rPr>
          <w:rFonts w:hint="eastAsia"/>
          <w:color w:val="auto"/>
        </w:rPr>
        <w:t>加强</w:t>
      </w:r>
      <w:r>
        <w:rPr>
          <w:color w:val="auto"/>
        </w:rPr>
        <w:t>新型领域安全风险</w:t>
      </w:r>
      <w:r>
        <w:rPr>
          <w:rFonts w:hint="eastAsia"/>
          <w:color w:val="auto"/>
        </w:rPr>
        <w:t>防范</w:t>
      </w:r>
      <w:bookmarkEnd w:id="565"/>
    </w:p>
    <w:p w14:paraId="008D2F50">
      <w:pPr>
        <w:pageBreakBefore w:val="0"/>
        <w:widowControl w:val="0"/>
        <w:kinsoku/>
        <w:wordWrap/>
        <w:overflowPunct/>
        <w:topLinePunct w:val="0"/>
        <w:autoSpaceDE/>
        <w:autoSpaceDN/>
        <w:bidi w:val="0"/>
        <w:adjustRightInd/>
        <w:snapToGrid/>
        <w:spacing w:before="156" w:beforeLines="50" w:line="580" w:lineRule="exact"/>
        <w:ind w:firstLine="640"/>
        <w:textAlignment w:val="auto"/>
        <w:rPr>
          <w:rFonts w:hint="eastAsia"/>
          <w:bCs/>
          <w:color w:val="auto"/>
          <w:szCs w:val="32"/>
        </w:rPr>
      </w:pPr>
      <w:r>
        <w:rPr>
          <w:rFonts w:ascii="Times New Roman" w:hAnsi="Times New Roman" w:cs="Times New Roman"/>
          <w:bCs/>
          <w:color w:val="auto"/>
          <w:szCs w:val="32"/>
        </w:rPr>
        <w:t>统筹数据开发利用、价值释放与安全保护，</w:t>
      </w:r>
      <w:r>
        <w:rPr>
          <w:rFonts w:hint="eastAsia" w:ascii="Times New Roman" w:hAnsi="Times New Roman" w:cs="Times New Roman"/>
          <w:bCs/>
          <w:color w:val="auto"/>
          <w:szCs w:val="32"/>
        </w:rPr>
        <w:t>落实</w:t>
      </w:r>
      <w:r>
        <w:rPr>
          <w:rFonts w:ascii="Times New Roman" w:hAnsi="Times New Roman" w:cs="Times New Roman"/>
          <w:bCs/>
          <w:color w:val="auto"/>
          <w:szCs w:val="32"/>
        </w:rPr>
        <w:t>数据分类分级保护、监测预警、应急处置安全管理</w:t>
      </w:r>
      <w:r>
        <w:rPr>
          <w:rFonts w:hint="eastAsia" w:ascii="Times New Roman" w:hAnsi="Times New Roman" w:cs="Times New Roman"/>
          <w:bCs/>
          <w:color w:val="auto"/>
          <w:szCs w:val="32"/>
        </w:rPr>
        <w:t>等</w:t>
      </w:r>
      <w:r>
        <w:rPr>
          <w:rFonts w:ascii="Times New Roman" w:hAnsi="Times New Roman" w:cs="Times New Roman"/>
          <w:bCs/>
          <w:color w:val="auto"/>
          <w:szCs w:val="32"/>
        </w:rPr>
        <w:t>制度机制</w:t>
      </w:r>
      <w:r>
        <w:rPr>
          <w:rFonts w:hint="eastAsia" w:ascii="Times New Roman" w:hAnsi="Times New Roman" w:cs="Times New Roman"/>
          <w:bCs/>
          <w:color w:val="auto"/>
          <w:szCs w:val="32"/>
        </w:rPr>
        <w:t>，</w:t>
      </w:r>
      <w:r>
        <w:rPr>
          <w:rFonts w:ascii="Times New Roman" w:hAnsi="Times New Roman" w:cs="Times New Roman"/>
          <w:bCs/>
          <w:color w:val="auto"/>
          <w:szCs w:val="32"/>
        </w:rPr>
        <w:t>完善人、技、物、管配套的安全防护体系。提升生物资源安全监管水平</w:t>
      </w:r>
      <w:r>
        <w:rPr>
          <w:rFonts w:hint="eastAsia" w:ascii="Times New Roman" w:hAnsi="Times New Roman" w:cs="Times New Roman"/>
          <w:bCs/>
          <w:color w:val="auto"/>
          <w:szCs w:val="32"/>
        </w:rPr>
        <w:t>，完善与</w:t>
      </w:r>
      <w:r>
        <w:rPr>
          <w:rFonts w:ascii="Times New Roman" w:hAnsi="Times New Roman" w:cs="Times New Roman"/>
          <w:bCs/>
          <w:color w:val="auto"/>
          <w:szCs w:val="32"/>
        </w:rPr>
        <w:t>低空</w:t>
      </w:r>
      <w:r>
        <w:rPr>
          <w:rFonts w:hint="eastAsia" w:ascii="Times New Roman" w:hAnsi="Times New Roman" w:cs="Times New Roman"/>
          <w:bCs/>
          <w:color w:val="auto"/>
          <w:szCs w:val="32"/>
        </w:rPr>
        <w:t>经济发展相配套的</w:t>
      </w:r>
      <w:r>
        <w:rPr>
          <w:rFonts w:ascii="Times New Roman" w:hAnsi="Times New Roman" w:cs="Times New Roman"/>
          <w:bCs/>
          <w:color w:val="auto"/>
          <w:szCs w:val="32"/>
        </w:rPr>
        <w:t>安全监管</w:t>
      </w:r>
      <w:r>
        <w:rPr>
          <w:rFonts w:hint="eastAsia" w:ascii="Times New Roman" w:hAnsi="Times New Roman" w:cs="Times New Roman"/>
          <w:bCs/>
          <w:color w:val="auto"/>
          <w:szCs w:val="32"/>
        </w:rPr>
        <w:t>体系</w:t>
      </w:r>
      <w:r>
        <w:rPr>
          <w:rFonts w:ascii="Times New Roman" w:hAnsi="Times New Roman" w:cs="Times New Roman"/>
          <w:bCs/>
          <w:color w:val="auto"/>
          <w:szCs w:val="32"/>
        </w:rPr>
        <w:t>，积极有效应对</w:t>
      </w:r>
      <w:r>
        <w:rPr>
          <w:rFonts w:hint="eastAsia" w:ascii="Times New Roman" w:hAnsi="Times New Roman" w:cs="Times New Roman"/>
          <w:bCs/>
          <w:color w:val="auto"/>
          <w:szCs w:val="32"/>
        </w:rPr>
        <w:t>其他新型领域</w:t>
      </w:r>
      <w:r>
        <w:rPr>
          <w:rFonts w:ascii="Times New Roman" w:hAnsi="Times New Roman" w:cs="Times New Roman"/>
          <w:bCs/>
          <w:color w:val="auto"/>
          <w:szCs w:val="32"/>
        </w:rPr>
        <w:t>风险，</w:t>
      </w:r>
      <w:r>
        <w:rPr>
          <w:rFonts w:hint="eastAsia" w:ascii="Times New Roman" w:hAnsi="Times New Roman" w:cs="Times New Roman"/>
          <w:bCs/>
          <w:color w:val="auto"/>
          <w:szCs w:val="32"/>
        </w:rPr>
        <w:t>适应未来发展需求</w:t>
      </w:r>
      <w:r>
        <w:rPr>
          <w:rFonts w:ascii="Times New Roman" w:hAnsi="Times New Roman" w:cs="Times New Roman"/>
          <w:bCs/>
          <w:color w:val="auto"/>
          <w:szCs w:val="32"/>
        </w:rPr>
        <w:t>。</w:t>
      </w:r>
    </w:p>
    <w:p w14:paraId="435CD1C6">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66" w:name="_Toc225513336"/>
      <w:r>
        <w:rPr>
          <w:rFonts w:hint="eastAsia"/>
          <w:color w:val="auto"/>
        </w:rPr>
        <w:t>第二章 筑牢安全防线，保障人民生命财产安全</w:t>
      </w:r>
      <w:bookmarkEnd w:id="556"/>
      <w:bookmarkEnd w:id="557"/>
      <w:bookmarkEnd w:id="566"/>
    </w:p>
    <w:p w14:paraId="5AE87E3C">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bookmarkStart w:id="567" w:name="_Toc217984386"/>
      <w:bookmarkStart w:id="568" w:name="_Toc216989172"/>
      <w:bookmarkStart w:id="569" w:name="_Toc211252070"/>
      <w:r>
        <w:rPr>
          <w:rFonts w:hint="eastAsia" w:ascii="仿宋_GB2312" w:hAnsi="仿宋_GB2312" w:cs="仿宋_GB2312"/>
          <w:color w:val="auto"/>
          <w:szCs w:val="32"/>
        </w:rPr>
        <w:t>坚持“人民至上、生命至上”，深化安全生产监督管理和隐患排查整治，保护群众生命财产安全和身体健康。</w:t>
      </w:r>
    </w:p>
    <w:p w14:paraId="243F98EB">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70" w:name="_Toc225513337"/>
      <w:r>
        <w:rPr>
          <w:rFonts w:hint="eastAsia"/>
          <w:color w:val="auto"/>
        </w:rPr>
        <w:t>一、加强森林草原防火防灾工作</w:t>
      </w:r>
      <w:bookmarkEnd w:id="570"/>
    </w:p>
    <w:p w14:paraId="36DA300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cs="仿宋_GB2312"/>
          <w:color w:val="auto"/>
          <w:szCs w:val="32"/>
        </w:rPr>
      </w:pPr>
      <w:r>
        <w:rPr>
          <w:rFonts w:hint="eastAsia" w:ascii="仿宋_GB2312" w:hAnsi="仿宋_GB2312" w:cs="仿宋_GB2312"/>
          <w:color w:val="auto"/>
          <w:szCs w:val="32"/>
        </w:rPr>
        <w:t>坚持“预防为主、生命至上”方针，压实县、乡、村三级责任，强化林长制落实与网格化管理，完善乡镇防灭火责任落实机制，发挥护林员、检查站等应有作用，推广应用智能视频监控、无人机巡护等先进技术，提升“人防+技防”水平。突出重点山场、重点林区、景区景点等关键部位，盯紧关键时间节点和人群，严格火源火种管控，重点防范农事用火、祭祀用火及野外用火，全面排查整治电力线路、光伏项目等火灾隐患，最大限度遏制森林草原火警火情发生。加强县、乡扑火队伍建设，及时更新补充防火车辆、水泵、服装、智能灭火机器人等扑火装备，逐步提升灭火能力，及时高效应对处置突发火情。到2030年实现森林火灾受害率≤0.9‰、草原火灾受害率≤2‰。</w:t>
      </w:r>
    </w:p>
    <w:p w14:paraId="6B7199BD">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71" w:name="_Toc225513338"/>
      <w:r>
        <w:rPr>
          <w:rFonts w:hint="eastAsia"/>
          <w:color w:val="auto"/>
        </w:rPr>
        <w:t>二、着力保障消防安全</w:t>
      </w:r>
      <w:bookmarkEnd w:id="571"/>
    </w:p>
    <w:p w14:paraId="0023EB04">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完善“县级专职消防大队+乡镇专职消防分队+村（社区）志愿消防队伍”三级体系和“定期培训+实战演练”机制，加强消防救援队伍建设。</w:t>
      </w:r>
      <w:r>
        <w:rPr>
          <w:color w:val="auto"/>
        </w:rPr>
        <w:t>县级组建专职消防大队，配备高层建筑灭火救援车灯专业装备，应急复杂火情；在温塘镇、南甸镇两个重点镇建立专职消防分队，配备基础消防装备，负责初期火情处置；村（社区）组建志愿消防队伍，设立微型消防站，配备消防器材，实现</w:t>
      </w:r>
      <w:r>
        <w:rPr>
          <w:rFonts w:hint="eastAsia"/>
          <w:color w:val="auto"/>
        </w:rPr>
        <w:t>“</w:t>
      </w:r>
      <w:r>
        <w:rPr>
          <w:color w:val="auto"/>
        </w:rPr>
        <w:t>小火早灭</w:t>
      </w:r>
      <w:r>
        <w:rPr>
          <w:rFonts w:hint="eastAsia"/>
          <w:color w:val="auto"/>
        </w:rPr>
        <w:t>”</w:t>
      </w:r>
      <w:r>
        <w:rPr>
          <w:color w:val="auto"/>
        </w:rPr>
        <w:t>、火情速报</w:t>
      </w:r>
      <w:r>
        <w:rPr>
          <w:rFonts w:hint="eastAsia" w:ascii="仿宋_GB2312"/>
          <w:color w:val="auto"/>
        </w:rPr>
        <w:t>建设县级消防救援指挥中心，按“5分钟消防响应圈”推进特勤消防站及训练地建设，推进山区、景点等重点区域装备配备</w:t>
      </w:r>
      <w:r>
        <w:rPr>
          <w:rFonts w:hint="eastAsia"/>
          <w:color w:val="auto"/>
        </w:rPr>
        <w:t>，</w:t>
      </w:r>
      <w:r>
        <w:rPr>
          <w:rFonts w:hint="eastAsia" w:ascii="仿宋_GB2312"/>
          <w:color w:val="auto"/>
        </w:rPr>
        <w:t>按照国家标准建设消防供水管网和公共消防设施取水设施，做好消防物资储备，加强消防通道的规划、建设、管理。</w:t>
      </w:r>
      <w:r>
        <w:rPr>
          <w:rFonts w:hint="eastAsia"/>
          <w:color w:val="auto"/>
        </w:rPr>
        <w:t>将公共消防设施建设和维护资金列入同级财政年度预算，将专职消防队伍建设等经费纳入县级财政预算，保障消防工作正常开展。</w:t>
      </w:r>
    </w:p>
    <w:bookmarkEnd w:id="567"/>
    <w:bookmarkEnd w:id="568"/>
    <w:bookmarkEnd w:id="569"/>
    <w:p w14:paraId="7CFB9599">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72" w:name="_Toc225513339"/>
      <w:bookmarkStart w:id="573" w:name="_Toc217984393"/>
      <w:bookmarkStart w:id="574" w:name="_Toc217984387"/>
      <w:bookmarkStart w:id="575" w:name="_Toc211252062"/>
      <w:bookmarkStart w:id="576" w:name="_Toc216989179"/>
      <w:bookmarkStart w:id="577" w:name="_Toc216989173"/>
      <w:r>
        <w:rPr>
          <w:rFonts w:hint="eastAsia"/>
          <w:color w:val="auto"/>
        </w:rPr>
        <w:t>三、严格食品药品安全监管</w:t>
      </w:r>
      <w:bookmarkEnd w:id="572"/>
    </w:p>
    <w:p w14:paraId="5AA701AC">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严格落实食品药品安全标准，压实生产经营者主体责任，完善食品药品“全链条”质量安全追溯体系，规范食品药品生产经营行为，加强生产经营环节抽检，畅通投诉举报渠道，严厉打击制售假冒伪劣食品药品等违法行为，保障群众“舌尖上的安全”与用药安全。</w:t>
      </w:r>
    </w:p>
    <w:p w14:paraId="53F80BB5">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78" w:name="_Toc225513340"/>
      <w:r>
        <w:rPr>
          <w:rFonts w:hint="eastAsia"/>
          <w:color w:val="auto"/>
        </w:rPr>
        <w:t>四、强化安全风险综合防控</w:t>
      </w:r>
      <w:bookmarkEnd w:id="578"/>
    </w:p>
    <w:p w14:paraId="6DE611F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 w:hAnsi="仿宋"/>
          <w:color w:val="auto"/>
        </w:rPr>
      </w:pPr>
      <w:r>
        <w:rPr>
          <w:rFonts w:hint="eastAsia" w:ascii="仿宋" w:hAnsi="仿宋"/>
          <w:color w:val="auto"/>
        </w:rPr>
        <w:t>聚焦自然灾害、安全生产等重点领域，建立完善风险隐患常态化排查、预警、处置机制，压实各生产经营单位主体责任，对建筑施工、道路交通、文化旅游、水上交通、危险化学品等重点行业领域开展常态化隐患排查整治，严防重特大事故发生。加固主要河流堤防，畅通防汛通道，完善防汛抗旱应急预案，提升防汛抗旱能力。科学布局应急避难场所，加强应急队伍建设和必要物资储备，定期开展维护检修与疏散演练，提升突发事件应对处置能力。</w:t>
      </w:r>
      <w:bookmarkEnd w:id="573"/>
      <w:bookmarkEnd w:id="574"/>
      <w:bookmarkEnd w:id="575"/>
      <w:bookmarkEnd w:id="576"/>
      <w:bookmarkEnd w:id="577"/>
      <w:bookmarkStart w:id="579" w:name="_Toc216989177"/>
      <w:bookmarkStart w:id="580" w:name="_Toc217984391"/>
    </w:p>
    <w:p w14:paraId="2E4D250D">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81" w:name="_Toc225513341"/>
      <w:r>
        <w:rPr>
          <w:rFonts w:hint="eastAsia"/>
          <w:color w:val="auto"/>
        </w:rPr>
        <w:t>第三章 深化基层治理，维护社会面安全</w:t>
      </w:r>
      <w:bookmarkEnd w:id="581"/>
    </w:p>
    <w:p w14:paraId="60932D3A">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82" w:name="_Toc225513342"/>
      <w:r>
        <w:rPr>
          <w:rFonts w:hint="eastAsia"/>
          <w:color w:val="auto"/>
        </w:rPr>
        <w:t>一、完善社会治安防控体系</w:t>
      </w:r>
      <w:bookmarkEnd w:id="582"/>
    </w:p>
    <w:p w14:paraId="093AEB2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r>
        <w:rPr>
          <w:rFonts w:hint="eastAsia" w:ascii="仿宋_GB2312"/>
          <w:color w:val="auto"/>
        </w:rPr>
        <w:t>优化县城“135”快速反应圈建设，提高警务响应速度与处置效率；坚持科技兴警，大力推动公安人工智能建设应用，提升公安机关新质战斗力；在农村地区推行"警保联动"机制，配备专职辅警与治安巡逻员，开展常态化巡逻防控，维护乡村社会治安稳定；深化社会治安整体防控，常态化开展扫黑除恶，依法严厉打击各类违法犯罪活动，强化未成年人违法犯罪预防治理，重点加大电信网络诈骗打击力度，维护群众切身利益；加强禁毒工作，健全县、乡、村三级禁毒防控网络，强化重点领域监管与禁毒宣传教育，对戒毒康复人员实行精准管理与帮扶，坚决遏制毒品传播蔓延。</w:t>
      </w:r>
    </w:p>
    <w:p w14:paraId="345D06C6">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83" w:name="_Toc225513343"/>
      <w:r>
        <w:rPr>
          <w:rFonts w:hint="eastAsia"/>
          <w:color w:val="auto"/>
        </w:rPr>
        <w:t>二、健全矛盾纠纷化解机制</w:t>
      </w:r>
      <w:bookmarkEnd w:id="583"/>
    </w:p>
    <w:p w14:paraId="6FD9A335">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完善社会矛盾纠纷多元预防调处化解综合机制，整合人民调解、行政调解、司法调解资源，发挥“一站式”矛盾纠纷调处中心作用，及时化解信访积案与基层矛盾。加强法治宣传教育，深入开展普法工作，提升全民法治意识，引导群众通过法律途径解决矛盾纠纷，推进信访工作法治化，营造尊法学法守法用法的浓厚氛围。</w:t>
      </w:r>
    </w:p>
    <w:p w14:paraId="0B571AD3">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84" w:name="_Toc225513344"/>
      <w:r>
        <w:rPr>
          <w:rFonts w:hint="eastAsia"/>
          <w:color w:val="auto"/>
        </w:rPr>
        <w:t>三、推进数字化社会治理</w:t>
      </w:r>
      <w:bookmarkEnd w:id="584"/>
    </w:p>
    <w:bookmarkEnd w:id="579"/>
    <w:bookmarkEnd w:id="580"/>
    <w:p w14:paraId="27ACB9CA">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 w:hAnsi="仿宋"/>
          <w:color w:val="auto"/>
        </w:rPr>
      </w:pPr>
      <w:r>
        <w:rPr>
          <w:rFonts w:hint="eastAsia" w:ascii="仿宋_GB2312"/>
          <w:color w:val="auto"/>
        </w:rPr>
        <w:t>以“数字筑基、智慧赋能、治理提效、民生普惠”为核心，构建“全域感知、数据贯通、应用协同、安全可控”的数字城市与智慧治理体系。</w:t>
      </w:r>
      <w:r>
        <w:rPr>
          <w:rFonts w:hint="eastAsia" w:ascii="仿宋" w:hAnsi="仿宋"/>
          <w:color w:val="auto"/>
        </w:rPr>
        <w:t>建立健全政务数据共享机制，打破部门数据壁垒，推动跨部门、跨层级共享共用。规范政务数据管理，建立数据分级分类管理制度，加强敏感信息保护，筑牢数字安全屏障。关注老年人、残疾人等特殊群体数字需求，优化爱心服务，帮助克服数字障碍。加强数字技能培训，提升全社会数字应用能力。</w:t>
      </w:r>
    </w:p>
    <w:p w14:paraId="28604982">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85" w:name="_Toc225513345"/>
      <w:r>
        <w:rPr>
          <w:rFonts w:hint="eastAsia"/>
          <w:color w:val="auto"/>
        </w:rPr>
        <w:t>四、推进法治平山建设</w:t>
      </w:r>
      <w:bookmarkEnd w:id="585"/>
    </w:p>
    <w:p w14:paraId="10F0D2E0">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ascii="Times New Roman" w:hAnsi="Times New Roman" w:cs="Times New Roman"/>
          <w:bCs/>
          <w:color w:val="auto"/>
          <w:szCs w:val="32"/>
        </w:rPr>
        <w:t>健全重大决策合法性审核机制</w:t>
      </w:r>
      <w:r>
        <w:rPr>
          <w:rFonts w:hint="eastAsia" w:ascii="Times New Roman" w:hAnsi="Times New Roman" w:cs="Times New Roman"/>
          <w:bCs/>
          <w:color w:val="auto"/>
          <w:szCs w:val="32"/>
        </w:rPr>
        <w:t>，保障科学、民主、依法决策</w:t>
      </w:r>
      <w:r>
        <w:rPr>
          <w:rFonts w:ascii="Times New Roman" w:hAnsi="Times New Roman" w:cs="Times New Roman"/>
          <w:bCs/>
          <w:color w:val="auto"/>
          <w:szCs w:val="32"/>
        </w:rPr>
        <w:t>。加强行政执法规范化建设，</w:t>
      </w:r>
      <w:r>
        <w:rPr>
          <w:rFonts w:hint="eastAsia"/>
          <w:color w:val="auto"/>
        </w:rPr>
        <w:t>规范执法程序，提高执法水平。加强执法监督</w:t>
      </w:r>
      <w:r>
        <w:rPr>
          <w:rFonts w:hint="eastAsia" w:ascii="Times New Roman" w:hAnsi="Times New Roman" w:cs="Times New Roman"/>
          <w:bCs/>
          <w:color w:val="auto"/>
          <w:szCs w:val="32"/>
        </w:rPr>
        <w:t>，</w:t>
      </w:r>
      <w:r>
        <w:rPr>
          <w:rFonts w:ascii="Times New Roman" w:hAnsi="Times New Roman" w:cs="Times New Roman"/>
          <w:bCs/>
          <w:color w:val="auto"/>
          <w:szCs w:val="32"/>
        </w:rPr>
        <w:t>深化政务公开，提升</w:t>
      </w:r>
      <w:r>
        <w:rPr>
          <w:rFonts w:hint="eastAsia" w:ascii="Times New Roman" w:hAnsi="Times New Roman" w:cs="Times New Roman"/>
          <w:bCs/>
          <w:color w:val="auto"/>
          <w:szCs w:val="32"/>
        </w:rPr>
        <w:t>执法</w:t>
      </w:r>
      <w:r>
        <w:rPr>
          <w:rFonts w:ascii="Times New Roman" w:hAnsi="Times New Roman" w:cs="Times New Roman"/>
          <w:bCs/>
          <w:color w:val="auto"/>
          <w:szCs w:val="32"/>
        </w:rPr>
        <w:t>标准化、规范化、便民化水平</w:t>
      </w:r>
      <w:r>
        <w:rPr>
          <w:rFonts w:hint="eastAsia" w:ascii="Times New Roman" w:hAnsi="Times New Roman" w:cs="Times New Roman"/>
          <w:bCs/>
          <w:color w:val="auto"/>
          <w:szCs w:val="32"/>
        </w:rPr>
        <w:t>。</w:t>
      </w:r>
      <w:r>
        <w:rPr>
          <w:rFonts w:ascii="Times New Roman" w:hAnsi="Times New Roman" w:cs="Times New Roman"/>
          <w:bCs/>
          <w:color w:val="auto"/>
          <w:szCs w:val="32"/>
        </w:rPr>
        <w:t>深化司法体制综合配套改革，</w:t>
      </w:r>
      <w:r>
        <w:rPr>
          <w:rFonts w:hint="eastAsia"/>
          <w:color w:val="auto"/>
        </w:rPr>
        <w:t>促进</w:t>
      </w:r>
      <w:r>
        <w:rPr>
          <w:rFonts w:ascii="Times New Roman" w:hAnsi="Times New Roman" w:cs="Times New Roman"/>
          <w:bCs/>
          <w:color w:val="auto"/>
          <w:szCs w:val="32"/>
        </w:rPr>
        <w:t>监察机关、公安机关、检察机关、审判机关、司法行政机关各司其职、相互配合</w:t>
      </w:r>
      <w:r>
        <w:rPr>
          <w:rFonts w:hint="eastAsia" w:ascii="Times New Roman" w:hAnsi="Times New Roman" w:cs="Times New Roman"/>
          <w:bCs/>
          <w:color w:val="auto"/>
          <w:szCs w:val="32"/>
        </w:rPr>
        <w:t>制约，</w:t>
      </w:r>
      <w:r>
        <w:rPr>
          <w:rFonts w:hint="eastAsia"/>
          <w:color w:val="auto"/>
        </w:rPr>
        <w:t>优化法治化营商环境，提升司法公信力。</w:t>
      </w:r>
      <w:r>
        <w:rPr>
          <w:rFonts w:hint="eastAsia" w:ascii="仿宋_GB2312"/>
          <w:color w:val="auto"/>
        </w:rPr>
        <w:t>深化对村巡察工作，推进对村巡察科学分类，因村施策，紧盯村级"三资"管理、小微权力运行、惠民政策落地等关键领域，持续推动"一村一组一实事"，切实提升对村巡察精准度和穿透力。</w:t>
      </w:r>
      <w:r>
        <w:rPr>
          <w:rFonts w:hint="eastAsia"/>
          <w:color w:val="auto"/>
        </w:rPr>
        <w:t>加强法治宣传教育，提升全民法治意识和法治素养，健全覆盖城乡的公共法律服务体系，实施公民法治素养提升行动，加强法治文化建设，推进基层依法治理。</w:t>
      </w:r>
    </w:p>
    <w:p w14:paraId="01D69C44">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86" w:name="_Toc225513346"/>
      <w:r>
        <w:rPr>
          <w:rFonts w:hint="eastAsia"/>
          <w:color w:val="auto"/>
        </w:rPr>
        <w:t>五、加强国防动员和后备力量建设</w:t>
      </w:r>
      <w:bookmarkEnd w:id="586"/>
    </w:p>
    <w:p w14:paraId="21359BB8">
      <w:pPr>
        <w:pageBreakBefore w:val="0"/>
        <w:widowControl w:val="0"/>
        <w:kinsoku/>
        <w:wordWrap/>
        <w:overflowPunct/>
        <w:topLinePunct w:val="0"/>
        <w:autoSpaceDE/>
        <w:autoSpaceDN/>
        <w:bidi w:val="0"/>
        <w:adjustRightInd/>
        <w:snapToGrid/>
        <w:spacing w:line="580" w:lineRule="exact"/>
        <w:ind w:firstLine="640"/>
        <w:textAlignment w:val="auto"/>
        <w:rPr>
          <w:rFonts w:ascii="Times New Roman" w:hAnsi="Times New Roman" w:cs="Times New Roman"/>
          <w:bCs/>
          <w:color w:val="auto"/>
          <w:szCs w:val="32"/>
        </w:rPr>
      </w:pPr>
      <w:r>
        <w:rPr>
          <w:rFonts w:ascii="Times New Roman" w:hAnsi="Times New Roman" w:cs="Times New Roman"/>
          <w:bCs/>
          <w:color w:val="auto"/>
          <w:szCs w:val="32"/>
        </w:rPr>
        <w:t>完善国防动员体系，争取军队军工创新资源，先进技术成果等落地转化，健全军事需求提报和军地对接机制，深化军地协同，</w:t>
      </w:r>
      <w:r>
        <w:rPr>
          <w:rFonts w:hint="eastAsia" w:ascii="Times New Roman" w:hAnsi="Times New Roman" w:cs="Times New Roman"/>
          <w:bCs/>
          <w:color w:val="auto"/>
          <w:szCs w:val="32"/>
        </w:rPr>
        <w:t>加强</w:t>
      </w:r>
      <w:r>
        <w:rPr>
          <w:rFonts w:ascii="Times New Roman" w:hAnsi="Times New Roman" w:cs="Times New Roman"/>
          <w:bCs/>
          <w:color w:val="auto"/>
          <w:szCs w:val="32"/>
        </w:rPr>
        <w:t>国防后备力量</w:t>
      </w:r>
      <w:r>
        <w:rPr>
          <w:rFonts w:hint="eastAsia" w:ascii="Times New Roman" w:hAnsi="Times New Roman" w:cs="Times New Roman"/>
          <w:bCs/>
          <w:color w:val="auto"/>
          <w:szCs w:val="32"/>
        </w:rPr>
        <w:t>和平急两用设施建设</w:t>
      </w:r>
      <w:r>
        <w:rPr>
          <w:rFonts w:ascii="Times New Roman" w:hAnsi="Times New Roman" w:cs="Times New Roman"/>
          <w:bCs/>
          <w:color w:val="auto"/>
          <w:szCs w:val="32"/>
        </w:rPr>
        <w:t>，</w:t>
      </w:r>
      <w:r>
        <w:rPr>
          <w:bCs/>
          <w:color w:val="auto"/>
          <w:szCs w:val="32"/>
        </w:rPr>
        <w:t xml:space="preserve"> </w:t>
      </w:r>
      <w:r>
        <w:rPr>
          <w:rFonts w:hint="eastAsia"/>
          <w:bCs/>
          <w:color w:val="auto"/>
          <w:szCs w:val="32"/>
        </w:rPr>
        <w:t>高质量完成征兵任务。</w:t>
      </w:r>
      <w:r>
        <w:rPr>
          <w:rFonts w:hint="eastAsia" w:ascii="Times New Roman" w:hAnsi="Times New Roman" w:cs="Times New Roman"/>
          <w:bCs/>
          <w:color w:val="auto"/>
          <w:szCs w:val="32"/>
        </w:rPr>
        <w:t>做好退役军人安置和服务保障，帮助解决实际问题，持续</w:t>
      </w:r>
      <w:r>
        <w:rPr>
          <w:rFonts w:ascii="Times New Roman" w:hAnsi="Times New Roman" w:cs="Times New Roman"/>
          <w:bCs/>
          <w:color w:val="auto"/>
          <w:szCs w:val="32"/>
        </w:rPr>
        <w:t>巩固</w:t>
      </w:r>
      <w:r>
        <w:rPr>
          <w:rFonts w:hint="eastAsia" w:ascii="Times New Roman" w:hAnsi="Times New Roman" w:cs="Times New Roman"/>
          <w:bCs/>
          <w:color w:val="auto"/>
          <w:szCs w:val="32"/>
        </w:rPr>
        <w:t>“</w:t>
      </w:r>
      <w:r>
        <w:rPr>
          <w:rFonts w:ascii="Times New Roman" w:hAnsi="Times New Roman" w:cs="Times New Roman"/>
          <w:bCs/>
          <w:color w:val="auto"/>
          <w:szCs w:val="32"/>
        </w:rPr>
        <w:t>全国双拥模范</w:t>
      </w:r>
      <w:r>
        <w:rPr>
          <w:rFonts w:hint="eastAsia" w:ascii="Times New Roman" w:hAnsi="Times New Roman" w:cs="Times New Roman"/>
          <w:bCs/>
          <w:color w:val="auto"/>
          <w:szCs w:val="32"/>
        </w:rPr>
        <w:t>县”</w:t>
      </w:r>
      <w:r>
        <w:rPr>
          <w:rFonts w:ascii="Times New Roman" w:hAnsi="Times New Roman" w:cs="Times New Roman"/>
          <w:bCs/>
          <w:color w:val="auto"/>
          <w:szCs w:val="32"/>
        </w:rPr>
        <w:t>成果。</w:t>
      </w:r>
    </w:p>
    <w:p w14:paraId="03A09DE7">
      <w:pPr>
        <w:pageBreakBefore w:val="0"/>
        <w:widowControl w:val="0"/>
        <w:kinsoku/>
        <w:wordWrap/>
        <w:overflowPunct/>
        <w:topLinePunct w:val="0"/>
        <w:autoSpaceDE/>
        <w:autoSpaceDN/>
        <w:bidi w:val="0"/>
        <w:adjustRightInd/>
        <w:snapToGrid/>
        <w:spacing w:line="580" w:lineRule="exact"/>
        <w:ind w:firstLine="640"/>
        <w:textAlignment w:val="auto"/>
        <w:rPr>
          <w:rFonts w:ascii="Times New Roman" w:hAnsi="Times New Roman" w:cs="Times New Roman"/>
          <w:bCs/>
          <w:color w:val="auto"/>
          <w:szCs w:val="32"/>
        </w:rPr>
      </w:pPr>
    </w:p>
    <w:tbl>
      <w:tblPr>
        <w:tblStyle w:val="32"/>
        <w:tblW w:w="82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6"/>
      </w:tblGrid>
      <w:tr w14:paraId="646A5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6" w:type="dxa"/>
          </w:tcPr>
          <w:p w14:paraId="20A3B279">
            <w:pPr>
              <w:ind w:firstLine="0" w:firstLineChars="0"/>
              <w:jc w:val="center"/>
              <w:rPr>
                <w:rFonts w:hint="eastAsia" w:ascii="宋体" w:hAnsi="宋体" w:eastAsia="宋体"/>
                <w:b/>
                <w:bCs/>
                <w:color w:val="auto"/>
                <w:kern w:val="0"/>
                <w:sz w:val="24"/>
                <w:szCs w:val="24"/>
              </w:rPr>
            </w:pPr>
            <w:r>
              <w:rPr>
                <w:rFonts w:hint="eastAsia" w:ascii="宋体" w:hAnsi="宋体" w:eastAsia="宋体"/>
                <w:b/>
                <w:bCs/>
                <w:color w:val="auto"/>
                <w:kern w:val="0"/>
                <w:sz w:val="24"/>
                <w:szCs w:val="24"/>
              </w:rPr>
              <w:t>专栏8：安全和发展领域</w:t>
            </w:r>
          </w:p>
          <w:p w14:paraId="43028128">
            <w:pPr>
              <w:ind w:firstLine="0" w:firstLineChars="0"/>
              <w:rPr>
                <w:rFonts w:hint="eastAsia" w:ascii="宋体" w:hAnsi="宋体" w:eastAsia="宋体"/>
                <w:color w:val="auto"/>
                <w:kern w:val="0"/>
                <w:sz w:val="24"/>
                <w:szCs w:val="24"/>
                <w:highlight w:val="yellow"/>
              </w:rPr>
            </w:pPr>
            <w:r>
              <w:rPr>
                <w:rFonts w:hint="eastAsia" w:ascii="宋体" w:hAnsi="宋体" w:eastAsia="宋体"/>
                <w:b/>
                <w:bCs/>
                <w:color w:val="auto"/>
                <w:kern w:val="0"/>
                <w:sz w:val="24"/>
                <w:szCs w:val="24"/>
              </w:rPr>
              <w:t>1.平山县防灾减灾能力提升：</w:t>
            </w:r>
            <w:r>
              <w:rPr>
                <w:rFonts w:hint="eastAsia" w:ascii="宋体" w:hAnsi="宋体" w:eastAsia="宋体"/>
                <w:color w:val="auto"/>
                <w:kern w:val="0"/>
                <w:sz w:val="24"/>
                <w:szCs w:val="24"/>
              </w:rPr>
              <w:t>包括应急物资储备库、应急通信保障系统、防汛应急预警能力提升与救援配套设施综合保障能力等建设。</w:t>
            </w:r>
          </w:p>
          <w:p w14:paraId="5221B405">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2.森林防灭火监测预警及配套：</w:t>
            </w:r>
            <w:r>
              <w:rPr>
                <w:rFonts w:hint="eastAsia" w:ascii="宋体" w:hAnsi="宋体" w:eastAsia="宋体"/>
                <w:color w:val="auto"/>
                <w:kern w:val="0"/>
                <w:sz w:val="24"/>
                <w:szCs w:val="24"/>
              </w:rPr>
              <w:t>完善森林防灭火预警指挥系统，更新应急救援装备，提升森林防灭火应急处置能力。</w:t>
            </w:r>
          </w:p>
          <w:p w14:paraId="72041182">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3.地质灾害防治：</w:t>
            </w:r>
            <w:r>
              <w:rPr>
                <w:rFonts w:hint="eastAsia" w:ascii="宋体" w:hAnsi="宋体" w:eastAsia="宋体"/>
                <w:color w:val="auto"/>
                <w:kern w:val="0"/>
                <w:sz w:val="24"/>
                <w:szCs w:val="24"/>
              </w:rPr>
              <w:t>布设地质灾害监测点，提升自然灾害防控能力。</w:t>
            </w:r>
          </w:p>
          <w:p w14:paraId="2120A56F">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4.提升城市应急处置效能：</w:t>
            </w:r>
            <w:r>
              <w:rPr>
                <w:rFonts w:hint="eastAsia" w:ascii="宋体" w:hAnsi="宋体" w:eastAsia="宋体"/>
                <w:color w:val="auto"/>
                <w:kern w:val="0"/>
                <w:sz w:val="24"/>
                <w:szCs w:val="24"/>
              </w:rPr>
              <w:t>推进智慧城市网络安全与数据安全保障，常态化开展供水、燃气等领域应急演练，提升供水、电力等生命线工程的应急修复能力，筑牢城市安全</w:t>
            </w:r>
            <w:r>
              <w:rPr>
                <w:rFonts w:ascii="宋体" w:hAnsi="宋体" w:eastAsia="宋体"/>
                <w:color w:val="auto"/>
                <w:kern w:val="0"/>
                <w:sz w:val="24"/>
                <w:szCs w:val="24"/>
              </w:rPr>
              <w:t>“</w:t>
            </w:r>
            <w:r>
              <w:rPr>
                <w:rFonts w:hint="eastAsia" w:ascii="宋体" w:hAnsi="宋体" w:eastAsia="宋体"/>
                <w:color w:val="auto"/>
                <w:kern w:val="0"/>
                <w:sz w:val="24"/>
                <w:szCs w:val="24"/>
              </w:rPr>
              <w:t>防火墙</w:t>
            </w:r>
            <w:r>
              <w:rPr>
                <w:rFonts w:ascii="宋体" w:hAnsi="宋体" w:eastAsia="宋体"/>
                <w:color w:val="auto"/>
                <w:kern w:val="0"/>
                <w:sz w:val="24"/>
                <w:szCs w:val="24"/>
              </w:rPr>
              <w:t>”</w:t>
            </w:r>
            <w:r>
              <w:rPr>
                <w:rFonts w:hint="eastAsia" w:ascii="宋体" w:hAnsi="宋体" w:eastAsia="宋体"/>
                <w:color w:val="auto"/>
                <w:kern w:val="0"/>
                <w:sz w:val="24"/>
                <w:szCs w:val="24"/>
              </w:rPr>
              <w:t>。</w:t>
            </w:r>
          </w:p>
          <w:p w14:paraId="7C775AE1">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6.特勤消防站及消防救援训练地</w:t>
            </w:r>
            <w:r>
              <w:rPr>
                <w:rFonts w:hint="eastAsia" w:ascii="宋体" w:hAnsi="宋体" w:eastAsia="宋体"/>
                <w:color w:val="auto"/>
                <w:kern w:val="0"/>
                <w:sz w:val="24"/>
                <w:szCs w:val="24"/>
              </w:rPr>
              <w:t>：综合执勤楼、综合训练楼及配套附属设施、装备器材、消火栓等。</w:t>
            </w:r>
          </w:p>
          <w:p w14:paraId="09E6557D">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7.专职消防队伍建设：</w:t>
            </w:r>
            <w:r>
              <w:rPr>
                <w:rFonts w:hint="eastAsia" w:ascii="宋体" w:hAnsi="宋体" w:eastAsia="宋体"/>
                <w:color w:val="auto"/>
                <w:kern w:val="0"/>
                <w:sz w:val="24"/>
                <w:szCs w:val="24"/>
              </w:rPr>
              <w:t>建立县级专职消防大队、乡镇专职消防分队、村（社区）志愿消防队伍，设立县级消防救援指挥中心（兼具应急智能调度中心作用）。</w:t>
            </w:r>
          </w:p>
        </w:tc>
      </w:tr>
    </w:tbl>
    <w:p w14:paraId="5EB27BAF">
      <w:pPr>
        <w:ind w:firstLine="0" w:firstLineChars="0"/>
        <w:rPr>
          <w:rFonts w:hint="eastAsia" w:ascii="仿宋" w:hAnsi="仿宋"/>
          <w:color w:val="auto"/>
        </w:rPr>
      </w:pPr>
    </w:p>
    <w:bookmarkEnd w:id="550"/>
    <w:bookmarkEnd w:id="551"/>
    <w:bookmarkEnd w:id="552"/>
    <w:bookmarkEnd w:id="553"/>
    <w:bookmarkEnd w:id="554"/>
    <w:p w14:paraId="003FE1BD">
      <w:pPr>
        <w:widowControl/>
        <w:spacing w:line="240" w:lineRule="auto"/>
        <w:ind w:firstLine="0" w:firstLineChars="0"/>
        <w:jc w:val="left"/>
        <w:rPr>
          <w:rFonts w:hint="eastAsia" w:eastAsia="黑体"/>
          <w:b/>
          <w:bCs/>
          <w:color w:val="auto"/>
          <w:kern w:val="44"/>
          <w:szCs w:val="44"/>
        </w:rPr>
      </w:pPr>
      <w:bookmarkStart w:id="587" w:name="_Toc207630023"/>
      <w:bookmarkStart w:id="588" w:name="_Toc211252080"/>
      <w:r>
        <w:rPr>
          <w:rFonts w:hint="eastAsia"/>
          <w:color w:val="auto"/>
        </w:rPr>
        <w:br w:type="page"/>
      </w:r>
    </w:p>
    <w:p w14:paraId="2DC3B81F">
      <w:pPr>
        <w:pStyle w:val="2"/>
        <w:pageBreakBefore w:val="0"/>
        <w:widowControl w:val="0"/>
        <w:kinsoku/>
        <w:wordWrap/>
        <w:overflowPunct/>
        <w:topLinePunct w:val="0"/>
        <w:autoSpaceDE/>
        <w:autoSpaceDN/>
        <w:bidi w:val="0"/>
        <w:adjustRightInd/>
        <w:snapToGrid/>
        <w:spacing w:line="580" w:lineRule="exact"/>
        <w:ind w:firstLine="643"/>
        <w:textAlignment w:val="auto"/>
        <w:rPr>
          <w:rFonts w:hint="eastAsia"/>
          <w:color w:val="auto"/>
        </w:rPr>
      </w:pPr>
      <w:bookmarkStart w:id="589" w:name="_Toc217984399"/>
      <w:bookmarkStart w:id="590" w:name="_Toc225513347"/>
      <w:bookmarkStart w:id="591" w:name="_Toc216989185"/>
      <w:r>
        <w:rPr>
          <w:rFonts w:hint="eastAsia"/>
          <w:color w:val="auto"/>
        </w:rPr>
        <w:t>第十一篇 保障基础设施，增强高质量发展</w:t>
      </w:r>
      <w:bookmarkEnd w:id="587"/>
      <w:bookmarkEnd w:id="588"/>
      <w:r>
        <w:rPr>
          <w:rFonts w:hint="eastAsia"/>
          <w:color w:val="auto"/>
        </w:rPr>
        <w:t>硬实力</w:t>
      </w:r>
      <w:bookmarkEnd w:id="589"/>
      <w:bookmarkEnd w:id="590"/>
      <w:bookmarkEnd w:id="591"/>
    </w:p>
    <w:p w14:paraId="487B5A66">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Times New Roman"/>
          <w:color w:val="auto"/>
          <w:szCs w:val="32"/>
        </w:rPr>
        <w:t>落实</w:t>
      </w:r>
      <w:r>
        <w:rPr>
          <w:rFonts w:hint="eastAsia" w:ascii="仿宋_GB2312"/>
          <w:color w:val="auto"/>
        </w:rPr>
        <w:t>党的二十届四中全会</w:t>
      </w:r>
      <w:r>
        <w:rPr>
          <w:rFonts w:hint="eastAsia" w:ascii="仿宋_GB2312" w:hAnsi="Times New Roman"/>
          <w:color w:val="auto"/>
          <w:szCs w:val="32"/>
        </w:rPr>
        <w:t>“构建现代化基础设施体系”战略部署，</w:t>
      </w:r>
      <w:r>
        <w:rPr>
          <w:rFonts w:hint="eastAsia" w:ascii="仿宋_GB2312" w:hAnsi="仿宋"/>
          <w:color w:val="auto"/>
        </w:rPr>
        <w:t>结合县情实际，统筹推进能源、水利、交通、通信等领域基础设施建设，构建安全可靠、智能高效的现代化基础设施体系。</w:t>
      </w:r>
    </w:p>
    <w:p w14:paraId="3F47DAD0">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592" w:name="_Toc225513348"/>
      <w:bookmarkStart w:id="593" w:name="_Toc211252087"/>
      <w:bookmarkStart w:id="594" w:name="_Toc217984400"/>
      <w:bookmarkStart w:id="595" w:name="_Toc216989186"/>
      <w:bookmarkStart w:id="596" w:name="_Toc211252081"/>
      <w:r>
        <w:rPr>
          <w:rFonts w:hint="eastAsia"/>
          <w:color w:val="auto"/>
        </w:rPr>
        <w:t>第一章 建设内畅外联的综合交通网络</w:t>
      </w:r>
      <w:bookmarkEnd w:id="592"/>
      <w:bookmarkEnd w:id="593"/>
      <w:bookmarkEnd w:id="594"/>
      <w:bookmarkEnd w:id="595"/>
    </w:p>
    <w:p w14:paraId="42A23CA6">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bookmarkStart w:id="597" w:name="_Toc216989187"/>
      <w:bookmarkStart w:id="598" w:name="_Toc217984401"/>
      <w:r>
        <w:rPr>
          <w:rFonts w:hint="eastAsia" w:ascii="仿宋_GB2312" w:hAnsi="仿宋"/>
          <w:color w:val="auto"/>
        </w:rPr>
        <w:t>落实交通强省、交通强市任务，持续优化内部路网结构、强化外部道路链接，加快建设交通强县。</w:t>
      </w:r>
    </w:p>
    <w:p w14:paraId="64FD7309">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599" w:name="_Toc225513349"/>
      <w:r>
        <w:rPr>
          <w:rFonts w:hint="eastAsia" w:ascii="仿宋_GB2312"/>
          <w:color w:val="auto"/>
        </w:rPr>
        <w:t>一、优化全域交通网络</w:t>
      </w:r>
      <w:bookmarkEnd w:id="597"/>
      <w:bookmarkEnd w:id="598"/>
      <w:r>
        <w:rPr>
          <w:rFonts w:hint="eastAsia" w:ascii="仿宋_GB2312"/>
          <w:color w:val="auto"/>
        </w:rPr>
        <w:t>布局</w:t>
      </w:r>
      <w:bookmarkEnd w:id="599"/>
    </w:p>
    <w:p w14:paraId="6A330C17">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ascii="仿宋_GB2312" w:hAnsi="仿宋"/>
          <w:color w:val="auto"/>
        </w:rPr>
        <w:t>针对县域地形复杂、空间布局分散的特点，以“打通对外通道、优化内部路网”为重点，完善“两环、三横、六纵”公路交通网络，打通对外快速通道、优化县域内部路网结构，构建衔接京津冀、覆盖全县域的综合交通体系，实现与省会交通圈无缝对接。</w:t>
      </w:r>
    </w:p>
    <w:p w14:paraId="4363B6CE">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600" w:name="_Toc217984402"/>
      <w:bookmarkStart w:id="601" w:name="_Toc225513350"/>
      <w:bookmarkStart w:id="602" w:name="_Toc211252088"/>
      <w:bookmarkStart w:id="603" w:name="_Toc216989188"/>
      <w:r>
        <w:rPr>
          <w:rFonts w:hint="eastAsia" w:ascii="仿宋_GB2312"/>
          <w:color w:val="auto"/>
        </w:rPr>
        <w:t>二、优化县域内部路网结构</w:t>
      </w:r>
      <w:bookmarkEnd w:id="600"/>
      <w:bookmarkEnd w:id="601"/>
      <w:bookmarkEnd w:id="602"/>
      <w:bookmarkEnd w:id="603"/>
    </w:p>
    <w:p w14:paraId="6368DE9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实施西部山区旅游公路建设工程，新建、改建连接驼梁、天桂山等重点景区的旅游专线，实现景区与干线公路无缝衔接；维修加固农村危桥，解决山区群众“出行难”问题；完善农村公路管护机制，纳入县、乡、村三级基础设施维护体系；结合乡村振兴与农文旅融合需求，优化农村物流配送线路，实现乡镇物流站点全覆盖。</w:t>
      </w:r>
    </w:p>
    <w:p w14:paraId="49312ED0">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color w:val="auto"/>
        </w:rPr>
      </w:pPr>
      <w:bookmarkStart w:id="604" w:name="_Toc217984403"/>
      <w:bookmarkStart w:id="605" w:name="_Toc211252089"/>
      <w:bookmarkStart w:id="606" w:name="_Toc225513351"/>
      <w:bookmarkStart w:id="607" w:name="_Toc216989189"/>
      <w:r>
        <w:rPr>
          <w:rFonts w:hint="eastAsia" w:ascii="仿宋_GB2312"/>
          <w:color w:val="auto"/>
        </w:rPr>
        <w:t>三、强化区域交通协同衔接</w:t>
      </w:r>
      <w:bookmarkEnd w:id="604"/>
      <w:bookmarkEnd w:id="605"/>
      <w:bookmarkEnd w:id="606"/>
      <w:bookmarkEnd w:id="607"/>
    </w:p>
    <w:p w14:paraId="7EDDAC1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主动融入京津冀交通一体化，规划建设跨区域公路连接线，重点推进新忻高速公路（平山段）建设，强化与山西高速互联互通，搭建晋冀交通新纽带；加快国道G338平山县城绕城公路改建，分流穿城过境车辆，缓解县城交通</w:t>
      </w:r>
      <w:r>
        <w:rPr>
          <w:rFonts w:hint="eastAsia" w:ascii="仿宋_GB2312" w:hAnsi="仿宋"/>
          <w:color w:val="auto"/>
          <w:lang w:eastAsia="zh-CN"/>
        </w:rPr>
        <w:t>压力</w:t>
      </w:r>
      <w:r>
        <w:rPr>
          <w:rFonts w:hint="eastAsia" w:ascii="仿宋_GB2312" w:hAnsi="仿宋"/>
          <w:color w:val="auto"/>
        </w:rPr>
        <w:t>。</w:t>
      </w:r>
    </w:p>
    <w:p w14:paraId="1920CA7A">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08" w:name="_Toc225513352"/>
      <w:bookmarkStart w:id="609" w:name="_Toc217984404"/>
      <w:bookmarkStart w:id="610" w:name="_Toc216989190"/>
      <w:r>
        <w:rPr>
          <w:rFonts w:hint="eastAsia"/>
          <w:color w:val="auto"/>
        </w:rPr>
        <w:t>第二章 构建多元清洁的能源保障体系</w:t>
      </w:r>
      <w:bookmarkEnd w:id="596"/>
      <w:bookmarkEnd w:id="608"/>
      <w:bookmarkEnd w:id="609"/>
      <w:bookmarkEnd w:id="610"/>
    </w:p>
    <w:p w14:paraId="1A045A34">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坚持“生态优先、绿色发展”导向，优化能源供给结构，推动能源生产与消费协同转型，提升能源供应的稳定性与可持续性。</w:t>
      </w:r>
    </w:p>
    <w:p w14:paraId="340532FD">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11" w:name="_Toc217984405"/>
      <w:bookmarkStart w:id="612" w:name="_Toc216989191"/>
      <w:bookmarkStart w:id="613" w:name="_Toc211252082"/>
      <w:bookmarkStart w:id="614" w:name="_Toc225513353"/>
      <w:r>
        <w:rPr>
          <w:rFonts w:hint="eastAsia"/>
          <w:color w:val="auto"/>
        </w:rPr>
        <w:t>一、</w:t>
      </w:r>
      <w:bookmarkEnd w:id="611"/>
      <w:bookmarkEnd w:id="612"/>
      <w:bookmarkEnd w:id="613"/>
      <w:r>
        <w:rPr>
          <w:rFonts w:hint="eastAsia"/>
          <w:color w:val="auto"/>
        </w:rPr>
        <w:t>加强能源设施建设</w:t>
      </w:r>
      <w:bookmarkEnd w:id="614"/>
    </w:p>
    <w:p w14:paraId="4681F34B">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加快建设西柏坡电厂四期工程，推动顺利投产达效，打造更加安全可靠、清洁低碳的现代能源基础设施体系。积极推进温塘220千伏变电站等能源设施建设，更好保障电力输送和清洁能源产业发展。在县域主干道、景区、乡镇驻地、大型商超及公共服务场所统筹布局建设新能源汽车充电桩，实现县域充电设施合理覆盖、互联互通。</w:t>
      </w:r>
    </w:p>
    <w:p w14:paraId="025F66DB">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15" w:name="_Toc211252083"/>
      <w:bookmarkStart w:id="616" w:name="_Toc217984406"/>
      <w:bookmarkStart w:id="617" w:name="_Toc225513354"/>
      <w:bookmarkStart w:id="618" w:name="_Toc216989192"/>
      <w:r>
        <w:rPr>
          <w:rFonts w:hint="eastAsia"/>
          <w:color w:val="auto"/>
        </w:rPr>
        <w:t>二、完善能源输送与保障</w:t>
      </w:r>
      <w:bookmarkEnd w:id="615"/>
      <w:bookmarkEnd w:id="616"/>
      <w:bookmarkEnd w:id="617"/>
      <w:bookmarkEnd w:id="618"/>
    </w:p>
    <w:p w14:paraId="20F9948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优化县域电网结构，重点解决西部山区供电可靠性不足问题。推进农村电网升级改造，实现县域10千伏线路全覆盖，提升农村电网供电可靠率与电压合格率。推进城镇燃气管道更新改造，延伸农村燃气供应网络，优先覆盖集中居住村庄，建立健全燃气安全监管体系，保障燃气供应安全稳定。规划建设弘天物流煤炭园铁路专用线，提升煤炭储备保供能力。</w:t>
      </w:r>
    </w:p>
    <w:p w14:paraId="21C40F5C">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19" w:name="_Toc225513355"/>
      <w:bookmarkStart w:id="620" w:name="_Toc217984407"/>
      <w:bookmarkStart w:id="621" w:name="_Toc216989193"/>
      <w:r>
        <w:rPr>
          <w:rFonts w:hint="eastAsia"/>
          <w:color w:val="auto"/>
        </w:rPr>
        <w:t xml:space="preserve">第三章 </w:t>
      </w:r>
      <w:bookmarkStart w:id="622" w:name="OLE_LINK5"/>
      <w:r>
        <w:rPr>
          <w:rFonts w:hint="eastAsia"/>
          <w:color w:val="auto"/>
        </w:rPr>
        <w:t>建立全域协同的水利保障</w:t>
      </w:r>
      <w:bookmarkEnd w:id="622"/>
      <w:r>
        <w:rPr>
          <w:rFonts w:hint="eastAsia"/>
          <w:color w:val="auto"/>
        </w:rPr>
        <w:t>体系</w:t>
      </w:r>
      <w:bookmarkEnd w:id="619"/>
      <w:bookmarkEnd w:id="620"/>
      <w:bookmarkEnd w:id="621"/>
    </w:p>
    <w:p w14:paraId="798E00C1">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紧扣国家水网建设规划纲要及省、市水网建设部署，构建与县域高质量发展相适应的“防洪安全、供水可靠、生态健康”水利保障体系，为经济社会发展筑牢水安全根基。</w:t>
      </w:r>
    </w:p>
    <w:p w14:paraId="57BFDF21">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23" w:name="_Toc225513356"/>
      <w:bookmarkStart w:id="624" w:name="_Toc216989194"/>
      <w:bookmarkStart w:id="625" w:name="_Toc217984408"/>
      <w:r>
        <w:rPr>
          <w:rFonts w:hint="eastAsia"/>
          <w:color w:val="auto"/>
        </w:rPr>
        <w:t>一、完善防洪排涝工程体系</w:t>
      </w:r>
      <w:bookmarkEnd w:id="623"/>
      <w:bookmarkEnd w:id="624"/>
      <w:bookmarkEnd w:id="625"/>
    </w:p>
    <w:p w14:paraId="76DFC7E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落实京津冀防洪安全要求，构建以河道堤防为基础、大中型水库为骨干、工程与非工程措施相结合的综合防洪减灾体系。实施滹沱河、冶河等主要河道综合治理，提升河道行洪排涝能力；对病险水库进行除险加固，完善水库联合调度机制，增强调蓄防洪功能。聚焦城镇内涝治理，新建、改造雨水管网系统，在重点区域布局蓄滞洪空间，健全“源头减排、管网排放、蓄滞削峰、超标应急”的城镇防洪排涝体系。</w:t>
      </w:r>
    </w:p>
    <w:p w14:paraId="0205F897">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26" w:name="_Toc216989195"/>
      <w:bookmarkStart w:id="627" w:name="_Toc217984409"/>
      <w:bookmarkStart w:id="628" w:name="_Toc225513357"/>
      <w:r>
        <w:rPr>
          <w:rFonts w:hint="eastAsia"/>
          <w:color w:val="auto"/>
        </w:rPr>
        <w:t>二、优化水资源配置网络</w:t>
      </w:r>
      <w:bookmarkEnd w:id="626"/>
      <w:bookmarkEnd w:id="627"/>
      <w:bookmarkEnd w:id="628"/>
    </w:p>
    <w:p w14:paraId="3A1E6789">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融入石家庄市“东调西蓄、全域统筹”水网格局，强化水资源优化配置与高效利用。推动县城供水水厂及输配水管网升级改造，维护提升农村安全饮水工程，重点解决西部山区季节性缺水、设施老化问题，保障群众饮水安全。科学谋划引调水配套工程，推进地下水回补，优化“多源互补、丰枯互济”的水资源配置格局，提升水资源保障能力。</w:t>
      </w:r>
    </w:p>
    <w:p w14:paraId="3B76D2D5">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29" w:name="_Toc216989197"/>
      <w:bookmarkStart w:id="630" w:name="_Toc217984411"/>
      <w:bookmarkStart w:id="631" w:name="_Toc225513358"/>
      <w:r>
        <w:rPr>
          <w:rFonts w:hint="eastAsia"/>
          <w:color w:val="auto"/>
        </w:rPr>
        <w:t>第四章 构筑高速智能的通信保障体系</w:t>
      </w:r>
      <w:bookmarkEnd w:id="629"/>
      <w:bookmarkEnd w:id="630"/>
      <w:bookmarkEnd w:id="631"/>
    </w:p>
    <w:p w14:paraId="5882FA9D">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紧扣数字中国建设战略部署，以“网络强县、数字赋能”为核心，构建“5G引领、光纤筑基、卫星补充、算力支撑”的现代化通信基础设施体系，筑牢县域数字经济发展根基。</w:t>
      </w:r>
    </w:p>
    <w:p w14:paraId="33D52C95">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32" w:name="_Toc225513359"/>
      <w:bookmarkStart w:id="633" w:name="_Toc216989198"/>
      <w:bookmarkStart w:id="634" w:name="_Toc217984412"/>
      <w:r>
        <w:rPr>
          <w:rFonts w:hint="eastAsia"/>
          <w:color w:val="auto"/>
        </w:rPr>
        <w:t>一、优化通信网络覆盖格局</w:t>
      </w:r>
      <w:bookmarkEnd w:id="632"/>
      <w:bookmarkEnd w:id="633"/>
      <w:bookmarkEnd w:id="634"/>
    </w:p>
    <w:p w14:paraId="141C17EA">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推进5G网络深度覆盖，实现县城区、乡镇政府驻地、重点产业园区、旅游景区5G网络覆盖，逐步向西部山区、偏远乡村延伸，解决信号盲区问题。升级光纤宽带网络，推动光纤入户向“千兆”升级，实现县城、乡镇千兆光纤全覆盖，农村地区百兆光纤普遍覆盖。完善应急通信保障，部署卫星通信终端和应急通信车，在山区、库区等特殊区域建设应急通信基站，提升极端天气、突发事件下的通信保障能力。</w:t>
      </w:r>
    </w:p>
    <w:p w14:paraId="14CE1FF0">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35" w:name="_Toc217984413"/>
      <w:bookmarkStart w:id="636" w:name="_Toc216989199"/>
      <w:bookmarkStart w:id="637" w:name="_Toc225513360"/>
      <w:r>
        <w:rPr>
          <w:rFonts w:hint="eastAsia"/>
          <w:color w:val="auto"/>
        </w:rPr>
        <w:t>二、强化数字基础设施支撑</w:t>
      </w:r>
      <w:bookmarkEnd w:id="635"/>
      <w:bookmarkEnd w:id="636"/>
      <w:bookmarkEnd w:id="637"/>
    </w:p>
    <w:p w14:paraId="42ABE8F1">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谋划布局县域算力设施建设，为钢铁产业、新能源、智慧文旅等产业提供算力服务，支撑工业互联网、物联网等应用场景落地。推进通信基础设施与电力、交通、市政等设施共建共享，降低建设成本，提高利用效率，服务经济社会数字化转型。</w:t>
      </w:r>
    </w:p>
    <w:p w14:paraId="58144C93">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38" w:name="_Toc216989200"/>
      <w:bookmarkStart w:id="639" w:name="_Toc217984414"/>
      <w:bookmarkStart w:id="640" w:name="_Toc225513361"/>
      <w:r>
        <w:rPr>
          <w:rFonts w:hint="eastAsia"/>
          <w:color w:val="auto"/>
        </w:rPr>
        <w:t>三、健全通信发展保障机制</w:t>
      </w:r>
      <w:bookmarkEnd w:id="638"/>
      <w:bookmarkEnd w:id="639"/>
      <w:bookmarkEnd w:id="640"/>
    </w:p>
    <w:p w14:paraId="1DCA9A3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仿宋"/>
          <w:color w:val="auto"/>
        </w:rPr>
        <w:t>将通信基础设施建设纳入国土空间规划、城乡建设规划，保障5G基站、数据中心等项目用地需求。完善通信基础设施保护长效机制，明确保护和维修维护责任，严厉打击破坏通信设施的违法行为，保障通信网络安全运行。深化政企合作，引导电信运营商、互联网企业加大投入，形成政府引导、企业主体、社会参与的通信基础设施建设格局。</w:t>
      </w:r>
    </w:p>
    <w:p w14:paraId="2FAE3DCE">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p>
    <w:tbl>
      <w:tblPr>
        <w:tblStyle w:val="32"/>
        <w:tblW w:w="85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7"/>
      </w:tblGrid>
      <w:tr w14:paraId="1C118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17" w:type="dxa"/>
          </w:tcPr>
          <w:p w14:paraId="008BF326">
            <w:pPr>
              <w:ind w:firstLine="0" w:firstLineChars="0"/>
              <w:jc w:val="center"/>
              <w:rPr>
                <w:rFonts w:hint="eastAsia" w:ascii="宋体" w:hAnsi="宋体" w:eastAsia="宋体"/>
                <w:b/>
                <w:bCs/>
                <w:color w:val="auto"/>
                <w:kern w:val="0"/>
                <w:sz w:val="24"/>
                <w:szCs w:val="24"/>
              </w:rPr>
            </w:pPr>
            <w:r>
              <w:rPr>
                <w:rFonts w:hint="eastAsia" w:ascii="宋体" w:hAnsi="宋体" w:eastAsia="宋体"/>
                <w:b/>
                <w:bCs/>
                <w:color w:val="auto"/>
                <w:kern w:val="0"/>
                <w:sz w:val="24"/>
                <w:szCs w:val="24"/>
              </w:rPr>
              <w:t>专栏9：基础设施领域</w:t>
            </w:r>
          </w:p>
          <w:p w14:paraId="13FBBC3E">
            <w:pPr>
              <w:ind w:firstLine="0" w:firstLineChars="0"/>
              <w:rPr>
                <w:rFonts w:hint="eastAsia" w:ascii="宋体" w:hAnsi="宋体" w:eastAsia="宋体"/>
                <w:b/>
                <w:bCs/>
                <w:color w:val="auto"/>
                <w:kern w:val="0"/>
                <w:sz w:val="24"/>
                <w:szCs w:val="24"/>
              </w:rPr>
            </w:pPr>
            <w:r>
              <w:rPr>
                <w:rFonts w:hint="eastAsia" w:ascii="宋体" w:hAnsi="宋体" w:eastAsia="宋体"/>
                <w:b/>
                <w:bCs/>
                <w:color w:val="auto"/>
                <w:kern w:val="0"/>
                <w:sz w:val="24"/>
                <w:szCs w:val="24"/>
              </w:rPr>
              <w:t>1.路网建设：</w:t>
            </w:r>
            <w:r>
              <w:rPr>
                <w:rFonts w:hint="eastAsia" w:ascii="宋体" w:hAnsi="宋体" w:eastAsia="宋体"/>
                <w:color w:val="auto"/>
                <w:kern w:val="0"/>
                <w:sz w:val="24"/>
                <w:szCs w:val="24"/>
              </w:rPr>
              <w:t>包括新忻高速公路、国道G338海天线平山县城绕城公路等，完善内通外联的路网体系。</w:t>
            </w:r>
          </w:p>
          <w:p w14:paraId="3B715C49">
            <w:pPr>
              <w:ind w:firstLine="0" w:firstLineChars="0"/>
              <w:rPr>
                <w:rFonts w:hint="eastAsia" w:ascii="宋体" w:hAnsi="宋体" w:eastAsia="宋体"/>
                <w:color w:val="auto"/>
                <w:kern w:val="0"/>
                <w:sz w:val="24"/>
                <w:szCs w:val="24"/>
              </w:rPr>
            </w:pPr>
            <w:r>
              <w:rPr>
                <w:rFonts w:hint="eastAsia" w:ascii="Times New Roman" w:hAnsi="Times New Roman" w:eastAsia="宋体" w:cs="Times New Roman"/>
                <w:b/>
                <w:bCs/>
                <w:color w:val="auto"/>
                <w:sz w:val="24"/>
                <w:szCs w:val="24"/>
              </w:rPr>
              <w:t>2.</w:t>
            </w:r>
            <w:r>
              <w:rPr>
                <w:rFonts w:ascii="Times New Roman" w:hAnsi="Times New Roman" w:eastAsia="宋体" w:cs="Times New Roman"/>
                <w:b/>
                <w:bCs/>
                <w:color w:val="auto"/>
                <w:sz w:val="24"/>
                <w:szCs w:val="24"/>
              </w:rPr>
              <w:t>能源安全保障</w:t>
            </w:r>
            <w:r>
              <w:rPr>
                <w:rFonts w:hint="eastAsia" w:ascii="Times New Roman" w:hAnsi="Times New Roman" w:eastAsia="宋体" w:cs="Times New Roman"/>
                <w:b/>
                <w:bCs/>
                <w:color w:val="auto"/>
                <w:sz w:val="24"/>
                <w:szCs w:val="24"/>
              </w:rPr>
              <w:t>：</w:t>
            </w:r>
            <w:r>
              <w:rPr>
                <w:rFonts w:ascii="Times New Roman" w:hAnsi="Times New Roman" w:eastAsia="宋体" w:cs="Times New Roman"/>
                <w:color w:val="auto"/>
                <w:sz w:val="24"/>
                <w:szCs w:val="24"/>
              </w:rPr>
              <w:t>聚焦电力、燃气等关键领域，构建稳定可靠的能源保障体系，强化电网升级与能源应急储备，常态化开展燃气管道巡检与泄漏应急处置，推进实施城市燃气泄漏感知预警。</w:t>
            </w:r>
          </w:p>
          <w:p w14:paraId="06EE1F9F">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3.电网建设：</w:t>
            </w:r>
            <w:r>
              <w:rPr>
                <w:rFonts w:hint="eastAsia" w:ascii="宋体" w:hAnsi="宋体" w:eastAsia="宋体"/>
                <w:color w:val="auto"/>
                <w:kern w:val="0"/>
                <w:sz w:val="24"/>
                <w:szCs w:val="24"/>
              </w:rPr>
              <w:t>针对县城、园区和乡村电网，结合具体情况，进行提升、优化、改造、升级和新建等。</w:t>
            </w:r>
          </w:p>
          <w:p w14:paraId="783FD04E">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4.水网建设：</w:t>
            </w:r>
            <w:r>
              <w:rPr>
                <w:rFonts w:hint="eastAsia" w:ascii="宋体" w:hAnsi="宋体" w:eastAsia="宋体"/>
                <w:color w:val="auto"/>
                <w:kern w:val="0"/>
                <w:sz w:val="24"/>
                <w:szCs w:val="24"/>
              </w:rPr>
              <w:t>构建县级水网</w:t>
            </w:r>
            <w:r>
              <w:rPr>
                <w:rFonts w:ascii="宋体" w:hAnsi="宋体" w:eastAsia="宋体"/>
                <w:color w:val="auto"/>
                <w:kern w:val="0"/>
                <w:sz w:val="24"/>
                <w:szCs w:val="24"/>
              </w:rPr>
              <w:t>“</w:t>
            </w:r>
            <w:r>
              <w:rPr>
                <w:rFonts w:hint="eastAsia" w:ascii="宋体" w:hAnsi="宋体" w:eastAsia="宋体"/>
                <w:color w:val="auto"/>
                <w:kern w:val="0"/>
                <w:sz w:val="24"/>
                <w:szCs w:val="24"/>
              </w:rPr>
              <w:t>河、心、道</w:t>
            </w:r>
            <w:r>
              <w:rPr>
                <w:rFonts w:ascii="宋体" w:hAnsi="宋体" w:eastAsia="宋体"/>
                <w:color w:val="auto"/>
                <w:kern w:val="0"/>
                <w:sz w:val="24"/>
                <w:szCs w:val="24"/>
              </w:rPr>
              <w:t>”</w:t>
            </w:r>
            <w:r>
              <w:rPr>
                <w:rFonts w:hint="eastAsia" w:ascii="宋体" w:hAnsi="宋体" w:eastAsia="宋体"/>
                <w:color w:val="auto"/>
                <w:kern w:val="0"/>
                <w:sz w:val="24"/>
                <w:szCs w:val="24"/>
              </w:rPr>
              <w:t>主骨架（</w:t>
            </w:r>
            <w:r>
              <w:rPr>
                <w:rFonts w:ascii="宋体" w:hAnsi="宋体" w:eastAsia="宋体"/>
                <w:color w:val="auto"/>
                <w:kern w:val="0"/>
                <w:sz w:val="24"/>
                <w:szCs w:val="24"/>
              </w:rPr>
              <w:t>“</w:t>
            </w:r>
            <w:r>
              <w:rPr>
                <w:rFonts w:hint="eastAsia" w:ascii="宋体" w:hAnsi="宋体" w:eastAsia="宋体"/>
                <w:color w:val="auto"/>
                <w:kern w:val="0"/>
                <w:sz w:val="24"/>
                <w:szCs w:val="24"/>
              </w:rPr>
              <w:t>一河</w:t>
            </w:r>
            <w:r>
              <w:rPr>
                <w:rFonts w:ascii="宋体" w:hAnsi="宋体" w:eastAsia="宋体"/>
                <w:color w:val="auto"/>
                <w:kern w:val="0"/>
                <w:sz w:val="24"/>
                <w:szCs w:val="24"/>
              </w:rPr>
              <w:t>”</w:t>
            </w:r>
            <w:r>
              <w:rPr>
                <w:rFonts w:hint="eastAsia" w:ascii="宋体" w:hAnsi="宋体" w:eastAsia="宋体"/>
                <w:color w:val="auto"/>
                <w:kern w:val="0"/>
                <w:sz w:val="24"/>
                <w:szCs w:val="24"/>
              </w:rPr>
              <w:t>为滹沱河，</w:t>
            </w:r>
            <w:r>
              <w:rPr>
                <w:rFonts w:ascii="宋体" w:hAnsi="宋体" w:eastAsia="宋体"/>
                <w:color w:val="auto"/>
                <w:kern w:val="0"/>
                <w:sz w:val="24"/>
                <w:szCs w:val="24"/>
              </w:rPr>
              <w:t>“</w:t>
            </w:r>
            <w:r>
              <w:rPr>
                <w:rFonts w:hint="eastAsia" w:ascii="宋体" w:hAnsi="宋体" w:eastAsia="宋体"/>
                <w:color w:val="auto"/>
                <w:kern w:val="0"/>
                <w:sz w:val="24"/>
                <w:szCs w:val="24"/>
              </w:rPr>
              <w:t>两心</w:t>
            </w:r>
            <w:r>
              <w:rPr>
                <w:rFonts w:ascii="宋体" w:hAnsi="宋体" w:eastAsia="宋体"/>
                <w:color w:val="auto"/>
                <w:kern w:val="0"/>
                <w:sz w:val="24"/>
                <w:szCs w:val="24"/>
              </w:rPr>
              <w:t>”</w:t>
            </w:r>
            <w:r>
              <w:rPr>
                <w:rFonts w:hint="eastAsia" w:ascii="宋体" w:hAnsi="宋体" w:eastAsia="宋体"/>
                <w:color w:val="auto"/>
                <w:kern w:val="0"/>
                <w:sz w:val="24"/>
                <w:szCs w:val="24"/>
              </w:rPr>
              <w:t>为岗南水库和黄壁庄水库，</w:t>
            </w:r>
            <w:r>
              <w:rPr>
                <w:rFonts w:ascii="宋体" w:hAnsi="宋体" w:eastAsia="宋体"/>
                <w:color w:val="auto"/>
                <w:kern w:val="0"/>
                <w:sz w:val="24"/>
                <w:szCs w:val="24"/>
              </w:rPr>
              <w:t>“</w:t>
            </w:r>
            <w:r>
              <w:rPr>
                <w:rFonts w:hint="eastAsia" w:ascii="宋体" w:hAnsi="宋体" w:eastAsia="宋体"/>
                <w:color w:val="auto"/>
                <w:kern w:val="0"/>
                <w:sz w:val="24"/>
                <w:szCs w:val="24"/>
              </w:rPr>
              <w:t>多道</w:t>
            </w:r>
            <w:r>
              <w:rPr>
                <w:rFonts w:ascii="宋体" w:hAnsi="宋体" w:eastAsia="宋体"/>
                <w:color w:val="auto"/>
                <w:kern w:val="0"/>
                <w:sz w:val="24"/>
                <w:szCs w:val="24"/>
              </w:rPr>
              <w:t>”</w:t>
            </w:r>
            <w:r>
              <w:rPr>
                <w:rFonts w:hint="eastAsia" w:ascii="宋体" w:hAnsi="宋体" w:eastAsia="宋体"/>
                <w:color w:val="auto"/>
                <w:kern w:val="0"/>
                <w:sz w:val="24"/>
                <w:szCs w:val="24"/>
              </w:rPr>
              <w:t>指多条骨干河道），推进水网骨干工程建设</w:t>
            </w:r>
            <w:r>
              <w:rPr>
                <w:rFonts w:hint="eastAsia" w:ascii="宋体" w:hAnsi="宋体" w:eastAsia="宋体" w:cs="Times New Roman"/>
                <w:color w:val="auto"/>
                <w:sz w:val="24"/>
                <w:szCs w:val="24"/>
              </w:rPr>
              <w:t>。</w:t>
            </w:r>
          </w:p>
          <w:p w14:paraId="43272D5B">
            <w:pPr>
              <w:pStyle w:val="138"/>
              <w:spacing w:line="360" w:lineRule="auto"/>
              <w:ind w:firstLine="0" w:firstLineChars="0"/>
              <w:rPr>
                <w:rFonts w:hint="eastAsia"/>
                <w:color w:val="auto"/>
                <w:szCs w:val="24"/>
              </w:rPr>
            </w:pPr>
            <w:r>
              <w:rPr>
                <w:rFonts w:hint="eastAsia"/>
                <w:b/>
                <w:bCs/>
                <w:color w:val="auto"/>
                <w:szCs w:val="24"/>
              </w:rPr>
              <w:t>5.</w:t>
            </w:r>
            <w:r>
              <w:rPr>
                <w:b/>
                <w:bCs/>
                <w:color w:val="auto"/>
                <w:szCs w:val="24"/>
              </w:rPr>
              <w:t>水旱灾害防御能力</w:t>
            </w:r>
            <w:r>
              <w:rPr>
                <w:rFonts w:hint="eastAsia"/>
                <w:b/>
                <w:bCs/>
                <w:color w:val="auto"/>
                <w:szCs w:val="24"/>
              </w:rPr>
              <w:t>提升：</w:t>
            </w:r>
            <w:r>
              <w:rPr>
                <w:rFonts w:hint="eastAsia"/>
                <w:color w:val="auto"/>
                <w:szCs w:val="24"/>
              </w:rPr>
              <w:t>以水资源配置工程为牵引，带动防洪排涝一体建设，重点实施冶河防洪治理工程、营里河河道治理工程，桑园口等山洪沟治理项目。</w:t>
            </w:r>
          </w:p>
          <w:p w14:paraId="5103E0FC">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6.新型通信设施建设：</w:t>
            </w:r>
            <w:r>
              <w:rPr>
                <w:rFonts w:hint="eastAsia" w:ascii="宋体" w:hAnsi="宋体" w:eastAsia="宋体"/>
                <w:color w:val="auto"/>
                <w:kern w:val="0"/>
                <w:sz w:val="24"/>
                <w:szCs w:val="24"/>
              </w:rPr>
              <w:t>加快建设</w:t>
            </w:r>
            <w:r>
              <w:rPr>
                <w:rFonts w:ascii="宋体" w:hAnsi="宋体" w:eastAsia="宋体"/>
                <w:color w:val="auto"/>
                <w:kern w:val="0"/>
                <w:sz w:val="24"/>
                <w:szCs w:val="24"/>
              </w:rPr>
              <w:t>5G</w:t>
            </w:r>
            <w:r>
              <w:rPr>
                <w:rFonts w:hint="eastAsia" w:ascii="宋体" w:hAnsi="宋体" w:eastAsia="宋体"/>
                <w:color w:val="auto"/>
                <w:kern w:val="0"/>
                <w:sz w:val="24"/>
                <w:szCs w:val="24"/>
              </w:rPr>
              <w:t>、千兆光网、移动物联网等新型网络基础设施，谋划布局算力基础设施。</w:t>
            </w:r>
          </w:p>
          <w:p w14:paraId="1CDB1717">
            <w:pPr>
              <w:ind w:firstLine="0" w:firstLineChars="0"/>
              <w:rPr>
                <w:rFonts w:hint="eastAsia" w:ascii="宋体" w:hAnsi="宋体" w:eastAsia="宋体"/>
                <w:color w:val="auto"/>
                <w:kern w:val="0"/>
                <w:sz w:val="24"/>
                <w:szCs w:val="24"/>
              </w:rPr>
            </w:pPr>
            <w:r>
              <w:rPr>
                <w:rFonts w:hint="eastAsia" w:ascii="宋体" w:hAnsi="宋体" w:eastAsia="宋体"/>
                <w:b/>
                <w:bCs/>
                <w:color w:val="auto"/>
                <w:kern w:val="0"/>
                <w:sz w:val="24"/>
                <w:szCs w:val="24"/>
              </w:rPr>
              <w:t>7.传统基础设施智慧化改造：</w:t>
            </w:r>
            <w:r>
              <w:rPr>
                <w:rFonts w:hint="eastAsia" w:ascii="宋体" w:hAnsi="宋体" w:eastAsia="宋体"/>
                <w:color w:val="auto"/>
                <w:kern w:val="0"/>
                <w:sz w:val="24"/>
                <w:szCs w:val="24"/>
              </w:rPr>
              <w:t>推动交通、能源、水利、环保、市政等基础设施数字化改造，提升传统基础设施智慧化水平；因地制宜对城镇供水、排水、供电、燃气、热力、消火栓（消防水鹤）、地下综合管廊等市政基础设施进行数字化改造升级和智能化管理。</w:t>
            </w:r>
          </w:p>
        </w:tc>
      </w:tr>
    </w:tbl>
    <w:p w14:paraId="670C771A">
      <w:pPr>
        <w:widowControl/>
        <w:spacing w:line="240" w:lineRule="auto"/>
        <w:ind w:firstLine="0" w:firstLineChars="0"/>
        <w:jc w:val="left"/>
        <w:rPr>
          <w:rFonts w:hint="eastAsia"/>
          <w:color w:val="auto"/>
        </w:rPr>
      </w:pPr>
      <w:bookmarkStart w:id="641" w:name="_Toc211252098"/>
      <w:bookmarkStart w:id="642" w:name="_Toc207630029"/>
    </w:p>
    <w:p w14:paraId="6441FC15">
      <w:pPr>
        <w:widowControl/>
        <w:spacing w:line="240" w:lineRule="auto"/>
        <w:ind w:firstLine="0" w:firstLineChars="0"/>
        <w:jc w:val="left"/>
        <w:rPr>
          <w:rFonts w:hint="eastAsia" w:eastAsia="黑体"/>
          <w:b/>
          <w:bCs/>
          <w:color w:val="auto"/>
          <w:kern w:val="44"/>
          <w:szCs w:val="44"/>
        </w:rPr>
      </w:pPr>
      <w:r>
        <w:rPr>
          <w:rFonts w:hint="eastAsia"/>
          <w:color w:val="auto"/>
        </w:rPr>
        <w:br w:type="page"/>
      </w:r>
    </w:p>
    <w:p w14:paraId="52709116">
      <w:pPr>
        <w:pStyle w:val="2"/>
        <w:pageBreakBefore w:val="0"/>
        <w:widowControl w:val="0"/>
        <w:kinsoku/>
        <w:wordWrap/>
        <w:overflowPunct/>
        <w:topLinePunct w:val="0"/>
        <w:autoSpaceDE/>
        <w:autoSpaceDN/>
        <w:bidi w:val="0"/>
        <w:adjustRightInd/>
        <w:snapToGrid/>
        <w:spacing w:line="580" w:lineRule="exact"/>
        <w:ind w:firstLine="643"/>
        <w:textAlignment w:val="auto"/>
        <w:rPr>
          <w:rFonts w:hint="eastAsia"/>
          <w:color w:val="auto"/>
        </w:rPr>
      </w:pPr>
      <w:bookmarkStart w:id="643" w:name="_Toc217984415"/>
      <w:bookmarkStart w:id="644" w:name="_Toc216989201"/>
      <w:bookmarkStart w:id="645" w:name="_Toc225513362"/>
      <w:r>
        <w:rPr>
          <w:rFonts w:hint="eastAsia"/>
          <w:color w:val="auto"/>
        </w:rPr>
        <w:t>第十二篇 加强党的领导，为规划有效实施聚合力</w:t>
      </w:r>
      <w:bookmarkEnd w:id="641"/>
      <w:bookmarkEnd w:id="642"/>
      <w:bookmarkEnd w:id="643"/>
      <w:bookmarkEnd w:id="644"/>
      <w:bookmarkEnd w:id="645"/>
    </w:p>
    <w:p w14:paraId="437AE291">
      <w:pPr>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
          <w:color w:val="auto"/>
        </w:rPr>
      </w:pPr>
      <w:r>
        <w:rPr>
          <w:rFonts w:hint="eastAsia" w:ascii="仿宋_GB2312" w:hAnsi="Times New Roman"/>
          <w:color w:val="auto"/>
          <w:szCs w:val="32"/>
        </w:rPr>
        <w:t>落实党的二十届四中全会“坚持党的全面领导”战略部署，</w:t>
      </w:r>
      <w:r>
        <w:rPr>
          <w:rFonts w:hint="eastAsia"/>
          <w:color w:val="auto"/>
        </w:rPr>
        <w:t>把党的领导贯穿于规划实施的各领域全过程</w:t>
      </w:r>
      <w:r>
        <w:rPr>
          <w:rFonts w:hint="eastAsia" w:ascii="仿宋_GB2312" w:hAnsi="仿宋"/>
          <w:color w:val="auto"/>
        </w:rPr>
        <w:t>，强化政治引领，健全实施机制，凝聚全县合力，确保规划各项目标任务落到实处。</w:t>
      </w:r>
    </w:p>
    <w:p w14:paraId="5C52ABE4">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46" w:name="_Toc211252099"/>
      <w:bookmarkStart w:id="647" w:name="_Toc217984416"/>
      <w:bookmarkStart w:id="648" w:name="_Toc216989202"/>
      <w:bookmarkStart w:id="649" w:name="_Toc225513363"/>
      <w:r>
        <w:rPr>
          <w:rFonts w:hint="eastAsia"/>
          <w:color w:val="auto"/>
        </w:rPr>
        <w:t>第一章 加强党的全面领导</w:t>
      </w:r>
      <w:bookmarkEnd w:id="646"/>
      <w:bookmarkEnd w:id="647"/>
      <w:bookmarkEnd w:id="648"/>
      <w:bookmarkEnd w:id="649"/>
    </w:p>
    <w:p w14:paraId="6A993426">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深入学习贯彻习近平新时代中国特色社会主义思想，深刻领悟</w:t>
      </w:r>
      <w:r>
        <w:rPr>
          <w:color w:val="auto"/>
        </w:rPr>
        <w:t>“</w:t>
      </w:r>
      <w:r>
        <w:rPr>
          <w:rFonts w:hint="eastAsia"/>
          <w:color w:val="auto"/>
        </w:rPr>
        <w:t>两个确立</w:t>
      </w:r>
      <w:r>
        <w:rPr>
          <w:color w:val="auto"/>
        </w:rPr>
        <w:t>”</w:t>
      </w:r>
      <w:r>
        <w:rPr>
          <w:rFonts w:hint="eastAsia"/>
          <w:color w:val="auto"/>
        </w:rPr>
        <w:t>的决定性意义，增强</w:t>
      </w:r>
      <w:r>
        <w:rPr>
          <w:color w:val="auto"/>
        </w:rPr>
        <w:t>“</w:t>
      </w:r>
      <w:r>
        <w:rPr>
          <w:rFonts w:hint="eastAsia"/>
          <w:color w:val="auto"/>
        </w:rPr>
        <w:t>四个意识</w:t>
      </w:r>
      <w:r>
        <w:rPr>
          <w:color w:val="auto"/>
        </w:rPr>
        <w:t>”</w:t>
      </w:r>
      <w:r>
        <w:rPr>
          <w:rFonts w:hint="eastAsia"/>
          <w:color w:val="auto"/>
        </w:rPr>
        <w:t>、坚定</w:t>
      </w:r>
      <w:r>
        <w:rPr>
          <w:color w:val="auto"/>
        </w:rPr>
        <w:t>“</w:t>
      </w:r>
      <w:r>
        <w:rPr>
          <w:rFonts w:hint="eastAsia"/>
          <w:color w:val="auto"/>
        </w:rPr>
        <w:t>四个自信</w:t>
      </w:r>
      <w:r>
        <w:rPr>
          <w:color w:val="auto"/>
        </w:rPr>
        <w:t>”</w:t>
      </w:r>
      <w:r>
        <w:rPr>
          <w:rFonts w:hint="eastAsia"/>
          <w:color w:val="auto"/>
        </w:rPr>
        <w:t>、做到</w:t>
      </w:r>
      <w:r>
        <w:rPr>
          <w:color w:val="auto"/>
        </w:rPr>
        <w:t>“</w:t>
      </w:r>
      <w:r>
        <w:rPr>
          <w:rFonts w:hint="eastAsia"/>
          <w:color w:val="auto"/>
        </w:rPr>
        <w:t>两个维护</w:t>
      </w:r>
      <w:r>
        <w:rPr>
          <w:color w:val="auto"/>
        </w:rPr>
        <w:t>”</w:t>
      </w:r>
      <w:r>
        <w:rPr>
          <w:rFonts w:hint="eastAsia"/>
          <w:color w:val="auto"/>
        </w:rPr>
        <w:t>，教育引导广大党员不断提高政治判断力、政治领悟力、政治执行力，确保党中央和省委、市委、县委决策部署落地见效。强化干部队伍教育培训和实践锻炼，提高适应新形势新任务新要求，抓改革、促发展、保稳定的水平和专业化能力，以高质量党建引领高质量发展。践行新时代党的组织路线，树立重实干重实绩用人导向，激发干部担当作为的内生动力。深入推进党的自我革命，锲而不舍落实中央八项规定及其实施细则精神，推动作风建设常态化长效化。健全不正之风和腐败问题同查同治机制，着力推进正风反腐一体深化，营造风清气正的良好政治生态。</w:t>
      </w:r>
    </w:p>
    <w:p w14:paraId="12728C58">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50" w:name="_Toc216989203"/>
      <w:bookmarkStart w:id="651" w:name="_Toc211252103"/>
      <w:bookmarkStart w:id="652" w:name="_Toc217984417"/>
      <w:bookmarkStart w:id="653" w:name="_Toc225513364"/>
      <w:r>
        <w:rPr>
          <w:rFonts w:hint="eastAsia"/>
          <w:color w:val="auto"/>
        </w:rPr>
        <w:t xml:space="preserve">第二章 </w:t>
      </w:r>
      <w:bookmarkEnd w:id="650"/>
      <w:bookmarkEnd w:id="651"/>
      <w:bookmarkEnd w:id="652"/>
      <w:r>
        <w:rPr>
          <w:rFonts w:hint="eastAsia"/>
          <w:color w:val="auto"/>
        </w:rPr>
        <w:t>加强民主法治建设</w:t>
      </w:r>
      <w:bookmarkEnd w:id="653"/>
    </w:p>
    <w:p w14:paraId="4F7ECD15">
      <w:pPr>
        <w:pageBreakBefore w:val="0"/>
        <w:widowControl w:val="0"/>
        <w:kinsoku/>
        <w:wordWrap/>
        <w:overflowPunct/>
        <w:topLinePunct w:val="0"/>
        <w:autoSpaceDE/>
        <w:autoSpaceDN/>
        <w:bidi w:val="0"/>
        <w:adjustRightInd/>
        <w:snapToGrid/>
        <w:spacing w:before="156" w:beforeLines="50" w:line="580" w:lineRule="exact"/>
        <w:ind w:firstLine="640"/>
        <w:textAlignment w:val="auto"/>
        <w:rPr>
          <w:rFonts w:hint="eastAsia"/>
          <w:color w:val="auto"/>
        </w:rPr>
      </w:pPr>
      <w:r>
        <w:rPr>
          <w:rFonts w:ascii="Times New Roman" w:hAnsi="Times New Roman" w:cs="Times New Roman"/>
          <w:color w:val="auto"/>
          <w:szCs w:val="24"/>
        </w:rPr>
        <w:t>坚持党的领导、人民当家作主、依法治国有机统一，发展全过程人民民主。坚持好、完善好、运行好人民代表大会制度，确保国家机关依法行使权力、履行职责，确保人民群众民主权利、合法权益得到维护和实现。坚持和完善中国共产党领导的多党合作和政治协商制度，发挥人民政协作为专门协商机构作用，支持民主党派、无党派人士履职尽责。健全基层民主制度，健全吸纳民意、汇集民智工作机制。发挥工会、共青团、妇联等群团组织作用，把人民群众紧紧凝聚在党的周围。完善</w:t>
      </w:r>
      <w:r>
        <w:rPr>
          <w:rFonts w:hint="eastAsia" w:ascii="Times New Roman" w:hAnsi="Times New Roman" w:cs="Times New Roman"/>
          <w:color w:val="auto"/>
          <w:szCs w:val="24"/>
        </w:rPr>
        <w:t>大</w:t>
      </w:r>
      <w:r>
        <w:rPr>
          <w:rFonts w:ascii="Times New Roman" w:hAnsi="Times New Roman" w:cs="Times New Roman"/>
          <w:color w:val="auto"/>
          <w:szCs w:val="24"/>
        </w:rPr>
        <w:t>统战工作格局，发挥统一战线凝聚人心、汇聚力量政治作用。落实党的民族政策，铸牢中华民族共同体意识，促进各民族广泛交往交流交融、共同团结奋斗、共同繁荣发展。落实新时代党的宗教工作方针政策，坚持我国宗教中国化方向，提高宗教工作法治化水平。做好</w:t>
      </w:r>
      <w:r>
        <w:rPr>
          <w:rFonts w:hint="eastAsia" w:ascii="Times New Roman" w:hAnsi="Times New Roman" w:cs="Times New Roman"/>
          <w:color w:val="auto"/>
          <w:szCs w:val="24"/>
        </w:rPr>
        <w:t>外事、</w:t>
      </w:r>
      <w:r>
        <w:rPr>
          <w:rFonts w:ascii="Times New Roman" w:hAnsi="Times New Roman" w:cs="Times New Roman"/>
          <w:color w:val="auto"/>
          <w:szCs w:val="24"/>
        </w:rPr>
        <w:t>侨务工作</w:t>
      </w:r>
      <w:r>
        <w:rPr>
          <w:rFonts w:hint="eastAsia" w:ascii="Times New Roman" w:hAnsi="Times New Roman" w:cs="Times New Roman"/>
          <w:color w:val="auto"/>
          <w:szCs w:val="24"/>
        </w:rPr>
        <w:t>。</w:t>
      </w:r>
    </w:p>
    <w:p w14:paraId="4E8E728C">
      <w:pPr>
        <w:pStyle w:val="3"/>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54" w:name="_Toc211252111"/>
      <w:bookmarkStart w:id="655" w:name="_Toc217984418"/>
      <w:bookmarkStart w:id="656" w:name="_Toc225513365"/>
      <w:bookmarkStart w:id="657" w:name="_Toc216989204"/>
      <w:r>
        <w:rPr>
          <w:rFonts w:hint="eastAsia"/>
          <w:color w:val="auto"/>
        </w:rPr>
        <w:t>第三章 健全规划实施机制</w:t>
      </w:r>
      <w:bookmarkEnd w:id="654"/>
      <w:bookmarkEnd w:id="655"/>
      <w:bookmarkEnd w:id="656"/>
      <w:bookmarkEnd w:id="657"/>
    </w:p>
    <w:p w14:paraId="49CD4F7B">
      <w:pPr>
        <w:pageBreakBefore w:val="0"/>
        <w:widowControl w:val="0"/>
        <w:kinsoku/>
        <w:wordWrap/>
        <w:overflowPunct/>
        <w:topLinePunct w:val="0"/>
        <w:autoSpaceDE/>
        <w:autoSpaceDN/>
        <w:bidi w:val="0"/>
        <w:adjustRightInd/>
        <w:snapToGrid/>
        <w:spacing w:before="156" w:beforeLines="50" w:line="580" w:lineRule="exact"/>
        <w:ind w:firstLine="640"/>
        <w:textAlignment w:val="auto"/>
        <w:rPr>
          <w:rFonts w:hint="eastAsia"/>
          <w:color w:val="auto"/>
          <w:szCs w:val="32"/>
        </w:rPr>
      </w:pPr>
      <w:r>
        <w:rPr>
          <w:rFonts w:ascii="Times New Roman" w:hAnsi="Times New Roman" w:cs="Times New Roman"/>
          <w:color w:val="auto"/>
          <w:szCs w:val="32"/>
        </w:rPr>
        <w:t>按照党的二十届四中全会精神</w:t>
      </w:r>
      <w:r>
        <w:rPr>
          <w:rFonts w:hint="eastAsia" w:ascii="Times New Roman" w:hAnsi="Times New Roman" w:cs="Times New Roman"/>
          <w:color w:val="auto"/>
          <w:szCs w:val="32"/>
        </w:rPr>
        <w:t>和</w:t>
      </w:r>
      <w:r>
        <w:rPr>
          <w:rFonts w:ascii="Times New Roman" w:hAnsi="Times New Roman" w:cs="Times New Roman"/>
          <w:color w:val="auto"/>
          <w:szCs w:val="32"/>
        </w:rPr>
        <w:t>省委十届九次全会</w:t>
      </w:r>
      <w:r>
        <w:rPr>
          <w:rFonts w:hint="eastAsia" w:ascii="Times New Roman" w:hAnsi="Times New Roman" w:cs="Times New Roman"/>
          <w:color w:val="auto"/>
          <w:szCs w:val="32"/>
        </w:rPr>
        <w:t>、</w:t>
      </w:r>
      <w:r>
        <w:rPr>
          <w:rFonts w:ascii="Times New Roman" w:hAnsi="Times New Roman" w:cs="Times New Roman"/>
          <w:color w:val="auto"/>
          <w:szCs w:val="32"/>
        </w:rPr>
        <w:t>市委十一届十次全会</w:t>
      </w:r>
      <w:r>
        <w:rPr>
          <w:rFonts w:hint="eastAsia" w:ascii="Times New Roman" w:hAnsi="Times New Roman" w:cs="Times New Roman"/>
          <w:color w:val="auto"/>
          <w:szCs w:val="32"/>
        </w:rPr>
        <w:t>、县</w:t>
      </w:r>
      <w:r>
        <w:rPr>
          <w:rFonts w:ascii="Times New Roman" w:hAnsi="Times New Roman" w:cs="Times New Roman"/>
          <w:color w:val="auto"/>
          <w:szCs w:val="32"/>
        </w:rPr>
        <w:t>委十一届</w:t>
      </w:r>
      <w:r>
        <w:rPr>
          <w:rFonts w:hint="eastAsia" w:ascii="Times New Roman" w:hAnsi="Times New Roman" w:cs="Times New Roman"/>
          <w:color w:val="auto"/>
          <w:szCs w:val="32"/>
        </w:rPr>
        <w:t>九</w:t>
      </w:r>
      <w:r>
        <w:rPr>
          <w:rFonts w:ascii="Times New Roman" w:hAnsi="Times New Roman" w:cs="Times New Roman"/>
          <w:color w:val="auto"/>
          <w:szCs w:val="32"/>
        </w:rPr>
        <w:t>次全会部署，建立健全规划</w:t>
      </w:r>
      <w:r>
        <w:rPr>
          <w:rFonts w:hint="eastAsia" w:ascii="Times New Roman" w:hAnsi="Times New Roman" w:cs="Times New Roman"/>
          <w:color w:val="auto"/>
          <w:szCs w:val="32"/>
        </w:rPr>
        <w:t>衔接协调、监测评估、协同参与和调整机制，严格推动执行落实，</w:t>
      </w:r>
      <w:r>
        <w:rPr>
          <w:rFonts w:ascii="Times New Roman" w:hAnsi="Times New Roman" w:cs="Times New Roman"/>
          <w:color w:val="auto"/>
          <w:szCs w:val="32"/>
        </w:rPr>
        <w:t>确保</w:t>
      </w:r>
      <w:r>
        <w:rPr>
          <w:rFonts w:hint="eastAsia" w:ascii="Times New Roman" w:hAnsi="Times New Roman" w:cs="Times New Roman"/>
          <w:color w:val="auto"/>
          <w:szCs w:val="32"/>
        </w:rPr>
        <w:t>“</w:t>
      </w:r>
      <w:r>
        <w:rPr>
          <w:rFonts w:ascii="Times New Roman" w:hAnsi="Times New Roman" w:cs="Times New Roman"/>
          <w:color w:val="auto"/>
          <w:szCs w:val="32"/>
        </w:rPr>
        <w:t>十五五</w:t>
      </w:r>
      <w:r>
        <w:rPr>
          <w:rFonts w:hint="eastAsia" w:ascii="Times New Roman" w:hAnsi="Times New Roman" w:cs="Times New Roman"/>
          <w:color w:val="auto"/>
          <w:szCs w:val="32"/>
        </w:rPr>
        <w:t>”</w:t>
      </w:r>
      <w:r>
        <w:rPr>
          <w:rFonts w:ascii="Times New Roman" w:hAnsi="Times New Roman" w:cs="Times New Roman"/>
          <w:color w:val="auto"/>
          <w:szCs w:val="32"/>
        </w:rPr>
        <w:t>各项部署取得</w:t>
      </w:r>
      <w:r>
        <w:rPr>
          <w:rFonts w:hint="eastAsia" w:ascii="Times New Roman" w:hAnsi="Times New Roman" w:cs="Times New Roman"/>
          <w:color w:val="auto"/>
          <w:szCs w:val="32"/>
        </w:rPr>
        <w:t>扎实成效</w:t>
      </w:r>
      <w:r>
        <w:rPr>
          <w:rFonts w:ascii="Times New Roman" w:hAnsi="Times New Roman" w:cs="Times New Roman"/>
          <w:color w:val="auto"/>
          <w:szCs w:val="32"/>
        </w:rPr>
        <w:t>。</w:t>
      </w:r>
    </w:p>
    <w:p w14:paraId="646F0DBA">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58" w:name="_Toc216989205"/>
      <w:bookmarkStart w:id="659" w:name="_Toc225513366"/>
      <w:bookmarkStart w:id="660" w:name="_Toc211252112"/>
      <w:bookmarkStart w:id="661" w:name="_Toc217984419"/>
      <w:r>
        <w:rPr>
          <w:rFonts w:hint="eastAsia"/>
          <w:color w:val="auto"/>
        </w:rPr>
        <w:t>一、强化规划衔接协调</w:t>
      </w:r>
      <w:bookmarkEnd w:id="658"/>
      <w:bookmarkEnd w:id="659"/>
      <w:bookmarkEnd w:id="660"/>
      <w:bookmarkEnd w:id="661"/>
    </w:p>
    <w:p w14:paraId="136E95EE">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建立规划衔接协调机制，加强“十五五”规划与国土空间规划、专项规划、区域规划的衔接协调，各专项规划要依据“十五五”规划纲要，细化落实本专项规划目标任务，定期开展规划衔接情况检查，确保各类规划在发展目标、空间布局、重大项目等方面协调一致，形成规划合力。</w:t>
      </w:r>
    </w:p>
    <w:p w14:paraId="49DB4FBA">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62" w:name="_Toc217984420"/>
      <w:bookmarkStart w:id="663" w:name="_Toc211252113"/>
      <w:bookmarkStart w:id="664" w:name="_Toc216989206"/>
      <w:bookmarkStart w:id="665" w:name="_Toc225503896"/>
      <w:bookmarkStart w:id="666" w:name="_Toc225513367"/>
      <w:bookmarkStart w:id="667" w:name="_Toc217984421"/>
      <w:bookmarkStart w:id="668" w:name="_Toc216989207"/>
      <w:bookmarkStart w:id="669" w:name="_Toc211252114"/>
      <w:r>
        <w:rPr>
          <w:rFonts w:hint="eastAsia"/>
          <w:color w:val="auto"/>
        </w:rPr>
        <w:t>二、完善监测评估</w:t>
      </w:r>
      <w:bookmarkEnd w:id="662"/>
      <w:bookmarkEnd w:id="663"/>
      <w:bookmarkEnd w:id="664"/>
      <w:r>
        <w:rPr>
          <w:rFonts w:hint="eastAsia"/>
          <w:color w:val="auto"/>
        </w:rPr>
        <w:t>与动态调整</w:t>
      </w:r>
      <w:bookmarkEnd w:id="665"/>
      <w:bookmarkEnd w:id="666"/>
    </w:p>
    <w:p w14:paraId="7D8E6E81">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lang w:eastAsia="zh-CN"/>
        </w:rPr>
        <w:t>完善</w:t>
      </w:r>
      <w:r>
        <w:rPr>
          <w:rFonts w:hint="eastAsia"/>
          <w:color w:val="auto"/>
        </w:rPr>
        <w:t>规划监测评估与动态调整机制，对规划目标任务完成情况开展动态监测、</w:t>
      </w:r>
      <w:r>
        <w:rPr>
          <w:rFonts w:hint="eastAsia"/>
          <w:color w:val="auto"/>
          <w:lang w:eastAsia="zh-CN"/>
        </w:rPr>
        <w:t>中期</w:t>
      </w:r>
      <w:r>
        <w:rPr>
          <w:rFonts w:hint="eastAsia"/>
          <w:color w:val="auto"/>
        </w:rPr>
        <w:t>评估和总结评估</w:t>
      </w:r>
      <w:r>
        <w:rPr>
          <w:rFonts w:hint="eastAsia"/>
          <w:color w:val="auto"/>
          <w:lang w:eastAsia="zh-CN"/>
        </w:rPr>
        <w:t>，</w:t>
      </w:r>
      <w:r>
        <w:rPr>
          <w:rFonts w:hint="eastAsia"/>
          <w:color w:val="auto"/>
        </w:rPr>
        <w:t>健全规划动态调整和修订机制</w:t>
      </w:r>
      <w:r>
        <w:rPr>
          <w:rFonts w:hint="eastAsia"/>
          <w:color w:val="auto"/>
          <w:lang w:eastAsia="zh-CN"/>
        </w:rPr>
        <w:t>。</w:t>
      </w:r>
      <w:r>
        <w:rPr>
          <w:rFonts w:hint="eastAsia"/>
          <w:color w:val="auto"/>
        </w:rPr>
        <w:t>中期评估和总结评估情况按程序向</w:t>
      </w:r>
      <w:r>
        <w:rPr>
          <w:rFonts w:hint="eastAsia"/>
          <w:color w:val="auto"/>
          <w:lang w:eastAsia="zh-CN"/>
        </w:rPr>
        <w:t>县</w:t>
      </w:r>
      <w:r>
        <w:rPr>
          <w:rFonts w:hint="eastAsia"/>
          <w:color w:val="auto"/>
        </w:rPr>
        <w:t>人民代表大会常务委员会报告规划实施情况,自觉接受人大监督。发挥各民主党派、工商联和无党派人士的民主监督作用,提高社会监督专业化水平。需要对本规划进行调整时,</w:t>
      </w:r>
      <w:r>
        <w:rPr>
          <w:rFonts w:hint="eastAsia"/>
          <w:color w:val="auto"/>
          <w:lang w:eastAsia="zh-CN"/>
        </w:rPr>
        <w:t>按程序</w:t>
      </w:r>
      <w:r>
        <w:rPr>
          <w:rFonts w:hint="eastAsia"/>
          <w:color w:val="auto"/>
        </w:rPr>
        <w:t>报</w:t>
      </w:r>
      <w:r>
        <w:rPr>
          <w:rFonts w:hint="eastAsia"/>
          <w:color w:val="auto"/>
          <w:lang w:eastAsia="zh-CN"/>
        </w:rPr>
        <w:t>县</w:t>
      </w:r>
      <w:r>
        <w:rPr>
          <w:rFonts w:hint="eastAsia"/>
          <w:color w:val="auto"/>
        </w:rPr>
        <w:t>人民代表大会常务委员会批准，确保规划科学严谨、务实可行。</w:t>
      </w:r>
    </w:p>
    <w:p w14:paraId="548EFFC3">
      <w:pPr>
        <w:pStyle w:val="4"/>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70" w:name="_Toc225513368"/>
      <w:r>
        <w:rPr>
          <w:rFonts w:hint="eastAsia"/>
          <w:color w:val="auto"/>
        </w:rPr>
        <w:t>三、强化社会协同参与</w:t>
      </w:r>
      <w:bookmarkEnd w:id="667"/>
      <w:bookmarkEnd w:id="668"/>
      <w:bookmarkEnd w:id="669"/>
      <w:bookmarkEnd w:id="670"/>
    </w:p>
    <w:p w14:paraId="0CF6BA54">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r>
        <w:rPr>
          <w:rFonts w:hint="eastAsia"/>
          <w:color w:val="auto"/>
        </w:rPr>
        <w:t>拓宽公众参与渠道，通过政府网站、新闻媒体等多种形式，及时公开规划实施情况，广泛听取社会各界意见建议。鼓励企业、社会组织、公众积极参与规划实施，形成全社会共同推动规划落实的良好氛围。发挥行业协会、商会等组织的桥梁纽带作用，引导经营主体自觉遵守规划，合理安排生产经营活动。</w:t>
      </w:r>
    </w:p>
    <w:p w14:paraId="07D424A6">
      <w:pPr>
        <w:pageBreakBefore w:val="0"/>
        <w:widowControl w:val="0"/>
        <w:kinsoku/>
        <w:wordWrap/>
        <w:overflowPunct/>
        <w:topLinePunct w:val="0"/>
        <w:autoSpaceDE/>
        <w:autoSpaceDN/>
        <w:bidi w:val="0"/>
        <w:adjustRightInd/>
        <w:snapToGrid/>
        <w:spacing w:line="580" w:lineRule="exact"/>
        <w:ind w:firstLine="640"/>
        <w:textAlignment w:val="auto"/>
        <w:rPr>
          <w:rFonts w:hint="eastAsia"/>
          <w:color w:val="auto"/>
        </w:rPr>
      </w:pPr>
      <w:bookmarkStart w:id="671" w:name="OLE_LINK10"/>
      <w:r>
        <w:rPr>
          <w:rFonts w:hint="eastAsia"/>
          <w:color w:val="auto"/>
        </w:rPr>
        <w:t>全县上下要更加紧密地团结在以习近平同志为核心的党中央周围，在省委省政府、市委市政府的坚强领导下，解放思想，奋发进取，加快建设产业振兴、生态宜居、和谐安定、充满活力的新平山，奋力谱写中国式现代化建设平山新篇章！</w:t>
      </w:r>
      <w:bookmarkEnd w:id="1"/>
      <w:bookmarkEnd w:id="671"/>
    </w:p>
    <w:sectPr>
      <w:headerReference r:id="rId7" w:type="first"/>
      <w:footerReference r:id="rId10" w:type="first"/>
      <w:headerReference r:id="rId5" w:type="default"/>
      <w:footerReference r:id="rId8" w:type="default"/>
      <w:headerReference r:id="rId6" w:type="even"/>
      <w:footerReference r:id="rId9" w:type="even"/>
      <w:pgSz w:w="11906" w:h="16838"/>
      <w:pgMar w:top="1814" w:right="1587" w:bottom="1587" w:left="1587" w:header="851" w:footer="1077" w:gutter="0"/>
      <w:pgBorders>
        <w:top w:val="none" w:sz="0" w:space="0"/>
        <w:left w:val="none" w:sz="0" w:space="0"/>
        <w:bottom w:val="none" w:sz="0" w:space="0"/>
        <w:right w:val="none" w:sz="0" w:space="0"/>
      </w:pgBorders>
      <w:pgNumType w:fmt="decimal"/>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华文仿宋">
    <w:altName w:val="仿宋"/>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modern"/>
    <w:pitch w:val="default"/>
    <w:sig w:usb0="00000000" w:usb1="00000000" w:usb2="00000010" w:usb3="00000000" w:csb0="00040000" w:csb1="00000000"/>
  </w:font>
  <w:font w:name="方正仿宋_GBK">
    <w:altName w:val="微软雅黑"/>
    <w:panose1 w:val="02000000000000000000"/>
    <w:charset w:val="86"/>
    <w:family w:val="auto"/>
    <w:pitch w:val="default"/>
    <w:sig w:usb0="00000000" w:usb1="00000000" w:usb2="00000000" w:usb3="00000000" w:csb0="00040000" w:csb1="00000000"/>
  </w:font>
  <w:font w:name="等线 Light">
    <w:altName w:val="宋体"/>
    <w:panose1 w:val="02010600030101010101"/>
    <w:charset w:val="86"/>
    <w:family w:val="auto"/>
    <w:pitch w:val="default"/>
    <w:sig w:usb0="00000000" w:usb1="00000000" w:usb2="00000016" w:usb3="00000000" w:csb0="0004000F" w:csb1="00000000"/>
  </w:font>
  <w:font w:name="楷体_GB2312">
    <w:altName w:val="楷体"/>
    <w:panose1 w:val="02010609030101010101"/>
    <w:charset w:val="86"/>
    <w:family w:val="roman"/>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00000000000000000"/>
    <w:charset w:val="86"/>
    <w:family w:val="auto"/>
    <w:pitch w:val="default"/>
    <w:sig w:usb0="00000000" w:usb1="00000000" w:usb2="00000012" w:usb3="00000000" w:csb0="00040001" w:csb1="00000000"/>
  </w:font>
  <w:font w:name="微软雅黑">
    <w:panose1 w:val="020B0503020204020204"/>
    <w:charset w:val="86"/>
    <w:family w:val="swiss"/>
    <w:pitch w:val="default"/>
    <w:sig w:usb0="80000287" w:usb1="280F3C52" w:usb2="00000016" w:usb3="00000000" w:csb0="0004001F" w:csb1="00000000"/>
  </w:font>
  <w:font w:name="等线">
    <w:altName w:val="微软雅黑"/>
    <w:panose1 w:val="00000000000000000000"/>
    <w:charset w:val="00"/>
    <w:family w:val="auto"/>
    <w:pitch w:val="default"/>
    <w:sig w:usb0="00000000" w:usb1="00000000" w:usb2="00000000" w:usb3="00000000" w:csb0="00000000" w:csb1="00000000"/>
  </w:font>
  <w:font w:name="等线 Ligh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楷体">
    <w:panose1 w:val="02010609060101010101"/>
    <w:charset w:val="86"/>
    <w:family w:val="auto"/>
    <w:pitch w:val="default"/>
    <w:sig w:usb0="800002BF" w:usb1="38CF7CFA" w:usb2="00000016" w:usb3="00000000" w:csb0="00040001" w:csb1="00000000"/>
  </w:font>
  <w:font w:name="MS PGothic">
    <w:panose1 w:val="020B0600070205080204"/>
    <w:charset w:val="80"/>
    <w:family w:val="auto"/>
    <w:pitch w:val="default"/>
    <w:sig w:usb0="E00002FF" w:usb1="6AC7FDFB" w:usb2="00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4A4A1D">
    <w:pPr>
      <w:pStyle w:val="19"/>
      <w:keepNext w:val="0"/>
      <w:keepLines w:val="0"/>
      <w:pageBreakBefore w:val="0"/>
      <w:widowControl w:val="0"/>
      <w:kinsoku/>
      <w:wordWrap/>
      <w:overflowPunct/>
      <w:topLinePunct w:val="0"/>
      <w:bidi w:val="0"/>
      <w:adjustRightInd/>
      <w:snapToGrid w:val="0"/>
      <w:spacing w:after="0"/>
      <w:ind w:left="0" w:leftChars="0" w:firstLine="0" w:firstLineChars="0"/>
      <w:jc w:val="both"/>
      <w:textAlignment w:val="auto"/>
      <w:rPr>
        <w:rFonts w:hint="eastAsia"/>
        <w:lang w:eastAsia="en-US"/>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43A462">
                          <w:pPr>
                            <w:pStyle w:val="19"/>
                            <w:keepNext w:val="0"/>
                            <w:keepLines w:val="0"/>
                            <w:pageBreakBefore w:val="0"/>
                            <w:widowControl w:val="0"/>
                            <w:kinsoku/>
                            <w:wordWrap/>
                            <w:overflowPunct/>
                            <w:topLinePunct w:val="0"/>
                            <w:bidi w:val="0"/>
                            <w:adjustRightInd/>
                            <w:snapToGrid w:val="0"/>
                            <w:spacing w:after="0"/>
                            <w:ind w:firstLine="0" w:firstLineChars="0"/>
                            <w:jc w:val="center"/>
                            <w:textAlignment w:val="auto"/>
                            <w:rPr>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  \* MERGEFORMAT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w:t>
                          </w:r>
                          <w:r>
                            <w:rPr>
                              <w:rFonts w:hint="eastAsia" w:ascii="仿宋_GB2312" w:hAnsi="仿宋_GB2312" w:eastAsia="仿宋_GB2312" w:cs="仿宋_GB2312"/>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6A43A462">
                    <w:pPr>
                      <w:pStyle w:val="19"/>
                      <w:keepNext w:val="0"/>
                      <w:keepLines w:val="0"/>
                      <w:pageBreakBefore w:val="0"/>
                      <w:widowControl w:val="0"/>
                      <w:kinsoku/>
                      <w:wordWrap/>
                      <w:overflowPunct/>
                      <w:topLinePunct w:val="0"/>
                      <w:bidi w:val="0"/>
                      <w:adjustRightInd/>
                      <w:snapToGrid w:val="0"/>
                      <w:spacing w:after="0"/>
                      <w:ind w:firstLine="0" w:firstLineChars="0"/>
                      <w:jc w:val="center"/>
                      <w:textAlignment w:val="auto"/>
                      <w:rPr>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  \* MERGEFORMAT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w:t>
                    </w:r>
                    <w:r>
                      <w:rPr>
                        <w:rFonts w:hint="eastAsia" w:ascii="仿宋_GB2312" w:hAnsi="仿宋_GB2312" w:eastAsia="仿宋_GB2312" w:cs="仿宋_GB2312"/>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21CF">
    <w:pPr>
      <w:pStyle w:val="19"/>
      <w:ind w:firstLine="360"/>
      <w:rPr>
        <w:rFonts w:hint="eastAsi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1C2CD4">
    <w:pPr>
      <w:pStyle w:val="19"/>
      <w:ind w:firstLine="360"/>
      <w:rPr>
        <w:rFonts w:hint="eastAsi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360" w:lineRule="auto"/>
        <w:ind w:firstLine="640"/>
      </w:pPr>
      <w:r>
        <w:separator/>
      </w:r>
    </w:p>
  </w:footnote>
  <w:footnote w:type="continuationSeparator" w:id="1">
    <w:p>
      <w:pPr>
        <w:spacing w:before="0" w:after="0" w:line="36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25B9E4">
    <w:pPr>
      <w:pStyle w:val="20"/>
      <w:ind w:firstLine="360"/>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548B3A">
    <w:pPr>
      <w:pStyle w:val="20"/>
      <w:ind w:firstLine="360"/>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5D714F">
    <w:pPr>
      <w:pStyle w:val="20"/>
      <w:ind w:firstLine="360"/>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4CBC"/>
    <w:rsid w:val="00000D93"/>
    <w:rsid w:val="000041A2"/>
    <w:rsid w:val="00006403"/>
    <w:rsid w:val="00006889"/>
    <w:rsid w:val="00006ED1"/>
    <w:rsid w:val="000072B8"/>
    <w:rsid w:val="00012833"/>
    <w:rsid w:val="00013759"/>
    <w:rsid w:val="00013F88"/>
    <w:rsid w:val="000145B9"/>
    <w:rsid w:val="00015181"/>
    <w:rsid w:val="00016BF8"/>
    <w:rsid w:val="000204A7"/>
    <w:rsid w:val="000205BD"/>
    <w:rsid w:val="00021A03"/>
    <w:rsid w:val="00024163"/>
    <w:rsid w:val="00026AA4"/>
    <w:rsid w:val="00030F12"/>
    <w:rsid w:val="00046F0A"/>
    <w:rsid w:val="000517C0"/>
    <w:rsid w:val="00054E85"/>
    <w:rsid w:val="00055B65"/>
    <w:rsid w:val="00057A40"/>
    <w:rsid w:val="000601C6"/>
    <w:rsid w:val="00064B1F"/>
    <w:rsid w:val="000708C5"/>
    <w:rsid w:val="00070D70"/>
    <w:rsid w:val="000765AE"/>
    <w:rsid w:val="0007782D"/>
    <w:rsid w:val="00081166"/>
    <w:rsid w:val="00095261"/>
    <w:rsid w:val="00097B57"/>
    <w:rsid w:val="000A2E7C"/>
    <w:rsid w:val="000A5C23"/>
    <w:rsid w:val="000A7D39"/>
    <w:rsid w:val="000B5465"/>
    <w:rsid w:val="000B78EF"/>
    <w:rsid w:val="000C079F"/>
    <w:rsid w:val="000C13F9"/>
    <w:rsid w:val="000C53BF"/>
    <w:rsid w:val="000C60FE"/>
    <w:rsid w:val="000C68C5"/>
    <w:rsid w:val="000C7960"/>
    <w:rsid w:val="000E1ABB"/>
    <w:rsid w:val="000F3A9F"/>
    <w:rsid w:val="001008F2"/>
    <w:rsid w:val="001057B6"/>
    <w:rsid w:val="00106E41"/>
    <w:rsid w:val="00112CEF"/>
    <w:rsid w:val="00113162"/>
    <w:rsid w:val="0011409A"/>
    <w:rsid w:val="00131204"/>
    <w:rsid w:val="00133120"/>
    <w:rsid w:val="00136D9A"/>
    <w:rsid w:val="001413FA"/>
    <w:rsid w:val="00142620"/>
    <w:rsid w:val="00146397"/>
    <w:rsid w:val="001535BA"/>
    <w:rsid w:val="00154981"/>
    <w:rsid w:val="0015571B"/>
    <w:rsid w:val="001561AB"/>
    <w:rsid w:val="00161276"/>
    <w:rsid w:val="00163930"/>
    <w:rsid w:val="00166C36"/>
    <w:rsid w:val="00171938"/>
    <w:rsid w:val="00176378"/>
    <w:rsid w:val="00177375"/>
    <w:rsid w:val="00184A9D"/>
    <w:rsid w:val="00186DB3"/>
    <w:rsid w:val="0019034F"/>
    <w:rsid w:val="001A2248"/>
    <w:rsid w:val="001A3320"/>
    <w:rsid w:val="001A5FED"/>
    <w:rsid w:val="001A7D22"/>
    <w:rsid w:val="001B3A5D"/>
    <w:rsid w:val="001B5984"/>
    <w:rsid w:val="001B67D4"/>
    <w:rsid w:val="001C4092"/>
    <w:rsid w:val="001D0654"/>
    <w:rsid w:val="001D2406"/>
    <w:rsid w:val="001D2689"/>
    <w:rsid w:val="001D2AB6"/>
    <w:rsid w:val="001F0CF7"/>
    <w:rsid w:val="00203D8F"/>
    <w:rsid w:val="00204F41"/>
    <w:rsid w:val="00205663"/>
    <w:rsid w:val="00211200"/>
    <w:rsid w:val="002131D4"/>
    <w:rsid w:val="00217D48"/>
    <w:rsid w:val="00220968"/>
    <w:rsid w:val="00224871"/>
    <w:rsid w:val="00227FF2"/>
    <w:rsid w:val="00231D28"/>
    <w:rsid w:val="00235205"/>
    <w:rsid w:val="00235A3D"/>
    <w:rsid w:val="00237D8A"/>
    <w:rsid w:val="002402B3"/>
    <w:rsid w:val="00241BB4"/>
    <w:rsid w:val="00245262"/>
    <w:rsid w:val="00252585"/>
    <w:rsid w:val="0025263C"/>
    <w:rsid w:val="00255314"/>
    <w:rsid w:val="00261494"/>
    <w:rsid w:val="00262FF2"/>
    <w:rsid w:val="00267E2F"/>
    <w:rsid w:val="00272C9F"/>
    <w:rsid w:val="00281361"/>
    <w:rsid w:val="00282FF9"/>
    <w:rsid w:val="00284415"/>
    <w:rsid w:val="002844D6"/>
    <w:rsid w:val="00287D8D"/>
    <w:rsid w:val="00293AB7"/>
    <w:rsid w:val="002951A8"/>
    <w:rsid w:val="00296985"/>
    <w:rsid w:val="002A0452"/>
    <w:rsid w:val="002A42A2"/>
    <w:rsid w:val="002A59D0"/>
    <w:rsid w:val="002A5D25"/>
    <w:rsid w:val="002A73C1"/>
    <w:rsid w:val="002B120F"/>
    <w:rsid w:val="002C5C35"/>
    <w:rsid w:val="002D556A"/>
    <w:rsid w:val="002E259A"/>
    <w:rsid w:val="002E4DD6"/>
    <w:rsid w:val="002E5421"/>
    <w:rsid w:val="002E70E7"/>
    <w:rsid w:val="002F0F4D"/>
    <w:rsid w:val="002F1369"/>
    <w:rsid w:val="002F1713"/>
    <w:rsid w:val="002F2515"/>
    <w:rsid w:val="002F660E"/>
    <w:rsid w:val="00302ACE"/>
    <w:rsid w:val="00307224"/>
    <w:rsid w:val="0030745B"/>
    <w:rsid w:val="0031397B"/>
    <w:rsid w:val="0031494E"/>
    <w:rsid w:val="0031695A"/>
    <w:rsid w:val="00316DAA"/>
    <w:rsid w:val="003230FB"/>
    <w:rsid w:val="003260D4"/>
    <w:rsid w:val="00330856"/>
    <w:rsid w:val="00332379"/>
    <w:rsid w:val="003331D2"/>
    <w:rsid w:val="00336C6D"/>
    <w:rsid w:val="00346AF3"/>
    <w:rsid w:val="0035293E"/>
    <w:rsid w:val="003562DA"/>
    <w:rsid w:val="00356F7E"/>
    <w:rsid w:val="00357851"/>
    <w:rsid w:val="00361A3B"/>
    <w:rsid w:val="003634AA"/>
    <w:rsid w:val="0036618B"/>
    <w:rsid w:val="003675B5"/>
    <w:rsid w:val="003747E2"/>
    <w:rsid w:val="00380061"/>
    <w:rsid w:val="0038149E"/>
    <w:rsid w:val="00393EFE"/>
    <w:rsid w:val="00394070"/>
    <w:rsid w:val="0039574E"/>
    <w:rsid w:val="003A6625"/>
    <w:rsid w:val="003A7F00"/>
    <w:rsid w:val="003B0881"/>
    <w:rsid w:val="003B1519"/>
    <w:rsid w:val="003B524E"/>
    <w:rsid w:val="003B592A"/>
    <w:rsid w:val="003B785E"/>
    <w:rsid w:val="003C0910"/>
    <w:rsid w:val="003C1EF2"/>
    <w:rsid w:val="003D28F6"/>
    <w:rsid w:val="003D57ED"/>
    <w:rsid w:val="003E18CE"/>
    <w:rsid w:val="003E2027"/>
    <w:rsid w:val="003F259C"/>
    <w:rsid w:val="004073A9"/>
    <w:rsid w:val="00413EDE"/>
    <w:rsid w:val="00415942"/>
    <w:rsid w:val="00416468"/>
    <w:rsid w:val="00425399"/>
    <w:rsid w:val="00430C0A"/>
    <w:rsid w:val="00440B52"/>
    <w:rsid w:val="00443054"/>
    <w:rsid w:val="00444312"/>
    <w:rsid w:val="00444D6F"/>
    <w:rsid w:val="0044783A"/>
    <w:rsid w:val="00451176"/>
    <w:rsid w:val="00452E8C"/>
    <w:rsid w:val="00454E6B"/>
    <w:rsid w:val="00461127"/>
    <w:rsid w:val="00472818"/>
    <w:rsid w:val="00475072"/>
    <w:rsid w:val="0047669C"/>
    <w:rsid w:val="004766E3"/>
    <w:rsid w:val="004836B5"/>
    <w:rsid w:val="0049227C"/>
    <w:rsid w:val="00492CDA"/>
    <w:rsid w:val="004978D4"/>
    <w:rsid w:val="004A2594"/>
    <w:rsid w:val="004A4387"/>
    <w:rsid w:val="004A56E5"/>
    <w:rsid w:val="004B3B08"/>
    <w:rsid w:val="004C1ECD"/>
    <w:rsid w:val="004C63CD"/>
    <w:rsid w:val="004C7405"/>
    <w:rsid w:val="004D6DB5"/>
    <w:rsid w:val="004E35D0"/>
    <w:rsid w:val="004E7095"/>
    <w:rsid w:val="004F2955"/>
    <w:rsid w:val="004F7DD4"/>
    <w:rsid w:val="005009C0"/>
    <w:rsid w:val="005027C7"/>
    <w:rsid w:val="00514B2A"/>
    <w:rsid w:val="005151A0"/>
    <w:rsid w:val="00516D6E"/>
    <w:rsid w:val="00517A36"/>
    <w:rsid w:val="00517D3C"/>
    <w:rsid w:val="00523178"/>
    <w:rsid w:val="00524C91"/>
    <w:rsid w:val="005255D4"/>
    <w:rsid w:val="005305A5"/>
    <w:rsid w:val="00533B57"/>
    <w:rsid w:val="0053475A"/>
    <w:rsid w:val="00540224"/>
    <w:rsid w:val="005421DC"/>
    <w:rsid w:val="0055256E"/>
    <w:rsid w:val="0056032E"/>
    <w:rsid w:val="00565E90"/>
    <w:rsid w:val="0056794D"/>
    <w:rsid w:val="00567BD6"/>
    <w:rsid w:val="0057361A"/>
    <w:rsid w:val="00585FE8"/>
    <w:rsid w:val="005864A0"/>
    <w:rsid w:val="0059173A"/>
    <w:rsid w:val="00592C6D"/>
    <w:rsid w:val="00592E1F"/>
    <w:rsid w:val="005943C4"/>
    <w:rsid w:val="005A116E"/>
    <w:rsid w:val="005A1B1A"/>
    <w:rsid w:val="005A35D2"/>
    <w:rsid w:val="005A618C"/>
    <w:rsid w:val="005A63EF"/>
    <w:rsid w:val="005B36C2"/>
    <w:rsid w:val="005B40BD"/>
    <w:rsid w:val="005B729E"/>
    <w:rsid w:val="005C2DE7"/>
    <w:rsid w:val="005C3546"/>
    <w:rsid w:val="005C37B8"/>
    <w:rsid w:val="005C63B4"/>
    <w:rsid w:val="005D531C"/>
    <w:rsid w:val="005E3BA6"/>
    <w:rsid w:val="005F0729"/>
    <w:rsid w:val="00602E0C"/>
    <w:rsid w:val="006108CC"/>
    <w:rsid w:val="00610B2B"/>
    <w:rsid w:val="00614EFD"/>
    <w:rsid w:val="00620917"/>
    <w:rsid w:val="00622BEE"/>
    <w:rsid w:val="006245A1"/>
    <w:rsid w:val="00626952"/>
    <w:rsid w:val="00626E70"/>
    <w:rsid w:val="006306AB"/>
    <w:rsid w:val="006412CB"/>
    <w:rsid w:val="00647DD8"/>
    <w:rsid w:val="006562BD"/>
    <w:rsid w:val="00662BC9"/>
    <w:rsid w:val="00664A4E"/>
    <w:rsid w:val="006842CF"/>
    <w:rsid w:val="006860DA"/>
    <w:rsid w:val="00686494"/>
    <w:rsid w:val="0068785C"/>
    <w:rsid w:val="006933F6"/>
    <w:rsid w:val="006A5A89"/>
    <w:rsid w:val="006A5E5B"/>
    <w:rsid w:val="006A76CC"/>
    <w:rsid w:val="006B3C83"/>
    <w:rsid w:val="006C0CF3"/>
    <w:rsid w:val="006C2948"/>
    <w:rsid w:val="006C7778"/>
    <w:rsid w:val="006D088F"/>
    <w:rsid w:val="006D2C31"/>
    <w:rsid w:val="006D5139"/>
    <w:rsid w:val="006E03CD"/>
    <w:rsid w:val="006E4023"/>
    <w:rsid w:val="006F2BE9"/>
    <w:rsid w:val="006F3105"/>
    <w:rsid w:val="006F3B6F"/>
    <w:rsid w:val="007001A1"/>
    <w:rsid w:val="00700891"/>
    <w:rsid w:val="00704A27"/>
    <w:rsid w:val="0070549B"/>
    <w:rsid w:val="00710A47"/>
    <w:rsid w:val="00716746"/>
    <w:rsid w:val="00717DD4"/>
    <w:rsid w:val="0073794E"/>
    <w:rsid w:val="00741AE0"/>
    <w:rsid w:val="00741D1E"/>
    <w:rsid w:val="00746A9A"/>
    <w:rsid w:val="00747923"/>
    <w:rsid w:val="00763279"/>
    <w:rsid w:val="00766E82"/>
    <w:rsid w:val="007803E1"/>
    <w:rsid w:val="00780A97"/>
    <w:rsid w:val="007824C1"/>
    <w:rsid w:val="00782604"/>
    <w:rsid w:val="00783F6D"/>
    <w:rsid w:val="00791A74"/>
    <w:rsid w:val="0079334B"/>
    <w:rsid w:val="0079562F"/>
    <w:rsid w:val="007A1DD7"/>
    <w:rsid w:val="007A4960"/>
    <w:rsid w:val="007A7495"/>
    <w:rsid w:val="007B1F91"/>
    <w:rsid w:val="007D3BBA"/>
    <w:rsid w:val="007F0C92"/>
    <w:rsid w:val="007F0FFE"/>
    <w:rsid w:val="007F2CB7"/>
    <w:rsid w:val="007F2DEF"/>
    <w:rsid w:val="007F3E30"/>
    <w:rsid w:val="007F699A"/>
    <w:rsid w:val="00802BC8"/>
    <w:rsid w:val="00811420"/>
    <w:rsid w:val="00813D72"/>
    <w:rsid w:val="008142A0"/>
    <w:rsid w:val="00814497"/>
    <w:rsid w:val="00816976"/>
    <w:rsid w:val="00821E5C"/>
    <w:rsid w:val="00831F3E"/>
    <w:rsid w:val="00836A95"/>
    <w:rsid w:val="00841A84"/>
    <w:rsid w:val="008422AE"/>
    <w:rsid w:val="00842450"/>
    <w:rsid w:val="0084602E"/>
    <w:rsid w:val="00846E46"/>
    <w:rsid w:val="00850037"/>
    <w:rsid w:val="00851127"/>
    <w:rsid w:val="008512E3"/>
    <w:rsid w:val="008560F3"/>
    <w:rsid w:val="00857CA0"/>
    <w:rsid w:val="00861FCA"/>
    <w:rsid w:val="0086274B"/>
    <w:rsid w:val="0086334F"/>
    <w:rsid w:val="00865D3F"/>
    <w:rsid w:val="00867479"/>
    <w:rsid w:val="00874351"/>
    <w:rsid w:val="00877CA2"/>
    <w:rsid w:val="00884443"/>
    <w:rsid w:val="00886BB7"/>
    <w:rsid w:val="00891B36"/>
    <w:rsid w:val="008A3B22"/>
    <w:rsid w:val="008A5101"/>
    <w:rsid w:val="008B14A4"/>
    <w:rsid w:val="008C0009"/>
    <w:rsid w:val="008C1875"/>
    <w:rsid w:val="008C35D6"/>
    <w:rsid w:val="008D301D"/>
    <w:rsid w:val="008E2457"/>
    <w:rsid w:val="008F38A6"/>
    <w:rsid w:val="008F3E9C"/>
    <w:rsid w:val="008F6E93"/>
    <w:rsid w:val="009049C9"/>
    <w:rsid w:val="009209F7"/>
    <w:rsid w:val="00923AAB"/>
    <w:rsid w:val="00925027"/>
    <w:rsid w:val="00925DEA"/>
    <w:rsid w:val="0093497D"/>
    <w:rsid w:val="00941B39"/>
    <w:rsid w:val="00946D85"/>
    <w:rsid w:val="009523FC"/>
    <w:rsid w:val="0095351B"/>
    <w:rsid w:val="00956600"/>
    <w:rsid w:val="00966EA0"/>
    <w:rsid w:val="00974681"/>
    <w:rsid w:val="00976A2E"/>
    <w:rsid w:val="009804FF"/>
    <w:rsid w:val="0099022C"/>
    <w:rsid w:val="009930E3"/>
    <w:rsid w:val="0099490C"/>
    <w:rsid w:val="00994CA9"/>
    <w:rsid w:val="009953CE"/>
    <w:rsid w:val="009A384A"/>
    <w:rsid w:val="009A5132"/>
    <w:rsid w:val="009B5AC9"/>
    <w:rsid w:val="009D26E9"/>
    <w:rsid w:val="009E1B9C"/>
    <w:rsid w:val="009E5DF9"/>
    <w:rsid w:val="009E7320"/>
    <w:rsid w:val="009F7B22"/>
    <w:rsid w:val="00A02A52"/>
    <w:rsid w:val="00A02E45"/>
    <w:rsid w:val="00A04084"/>
    <w:rsid w:val="00A05199"/>
    <w:rsid w:val="00A117C4"/>
    <w:rsid w:val="00A15421"/>
    <w:rsid w:val="00A2369D"/>
    <w:rsid w:val="00A2604E"/>
    <w:rsid w:val="00A31573"/>
    <w:rsid w:val="00A355BC"/>
    <w:rsid w:val="00A36C6B"/>
    <w:rsid w:val="00A418EC"/>
    <w:rsid w:val="00A41D54"/>
    <w:rsid w:val="00A44146"/>
    <w:rsid w:val="00A46316"/>
    <w:rsid w:val="00A46B4B"/>
    <w:rsid w:val="00A61617"/>
    <w:rsid w:val="00A67B3F"/>
    <w:rsid w:val="00A773F3"/>
    <w:rsid w:val="00A80055"/>
    <w:rsid w:val="00A8253F"/>
    <w:rsid w:val="00A83912"/>
    <w:rsid w:val="00A84A7E"/>
    <w:rsid w:val="00A85825"/>
    <w:rsid w:val="00A85C3A"/>
    <w:rsid w:val="00A86132"/>
    <w:rsid w:val="00A86486"/>
    <w:rsid w:val="00A92BBD"/>
    <w:rsid w:val="00A9465F"/>
    <w:rsid w:val="00A954A0"/>
    <w:rsid w:val="00AA5793"/>
    <w:rsid w:val="00AA6B5A"/>
    <w:rsid w:val="00AA73B3"/>
    <w:rsid w:val="00AB0670"/>
    <w:rsid w:val="00AB1A34"/>
    <w:rsid w:val="00AB2632"/>
    <w:rsid w:val="00AD0DD8"/>
    <w:rsid w:val="00AD0F98"/>
    <w:rsid w:val="00AD19AB"/>
    <w:rsid w:val="00AD29D0"/>
    <w:rsid w:val="00AE046A"/>
    <w:rsid w:val="00AE4A3E"/>
    <w:rsid w:val="00AE7EDE"/>
    <w:rsid w:val="00AF0E87"/>
    <w:rsid w:val="00AF1998"/>
    <w:rsid w:val="00B000CC"/>
    <w:rsid w:val="00B01AE6"/>
    <w:rsid w:val="00B0459F"/>
    <w:rsid w:val="00B04E1A"/>
    <w:rsid w:val="00B0620D"/>
    <w:rsid w:val="00B12DBE"/>
    <w:rsid w:val="00B13F4C"/>
    <w:rsid w:val="00B17EC5"/>
    <w:rsid w:val="00B22874"/>
    <w:rsid w:val="00B24CBC"/>
    <w:rsid w:val="00B2535C"/>
    <w:rsid w:val="00B35F6A"/>
    <w:rsid w:val="00B36520"/>
    <w:rsid w:val="00B37149"/>
    <w:rsid w:val="00B372F2"/>
    <w:rsid w:val="00B37DD9"/>
    <w:rsid w:val="00B44895"/>
    <w:rsid w:val="00B4685B"/>
    <w:rsid w:val="00B50CA8"/>
    <w:rsid w:val="00B51451"/>
    <w:rsid w:val="00B526B8"/>
    <w:rsid w:val="00B5591E"/>
    <w:rsid w:val="00B6307D"/>
    <w:rsid w:val="00B677DC"/>
    <w:rsid w:val="00B679D9"/>
    <w:rsid w:val="00B67EA2"/>
    <w:rsid w:val="00B714C2"/>
    <w:rsid w:val="00B7536C"/>
    <w:rsid w:val="00B805AD"/>
    <w:rsid w:val="00B84FD7"/>
    <w:rsid w:val="00B85304"/>
    <w:rsid w:val="00B878F5"/>
    <w:rsid w:val="00B95ECC"/>
    <w:rsid w:val="00BA7B59"/>
    <w:rsid w:val="00BB1A97"/>
    <w:rsid w:val="00BB20EE"/>
    <w:rsid w:val="00BC2784"/>
    <w:rsid w:val="00BC2B30"/>
    <w:rsid w:val="00BC3893"/>
    <w:rsid w:val="00BC4874"/>
    <w:rsid w:val="00BC51AE"/>
    <w:rsid w:val="00BC72D4"/>
    <w:rsid w:val="00BD266B"/>
    <w:rsid w:val="00BE7513"/>
    <w:rsid w:val="00BF0FB1"/>
    <w:rsid w:val="00C01CC9"/>
    <w:rsid w:val="00C03AC3"/>
    <w:rsid w:val="00C05CA4"/>
    <w:rsid w:val="00C141FB"/>
    <w:rsid w:val="00C15A44"/>
    <w:rsid w:val="00C16408"/>
    <w:rsid w:val="00C178B5"/>
    <w:rsid w:val="00C21BE1"/>
    <w:rsid w:val="00C24ECA"/>
    <w:rsid w:val="00C30E7B"/>
    <w:rsid w:val="00C34C6B"/>
    <w:rsid w:val="00C3759F"/>
    <w:rsid w:val="00C42020"/>
    <w:rsid w:val="00C47185"/>
    <w:rsid w:val="00C5539B"/>
    <w:rsid w:val="00C57B31"/>
    <w:rsid w:val="00C61B37"/>
    <w:rsid w:val="00C71162"/>
    <w:rsid w:val="00C716B7"/>
    <w:rsid w:val="00C74977"/>
    <w:rsid w:val="00C74FB2"/>
    <w:rsid w:val="00C77E77"/>
    <w:rsid w:val="00C81494"/>
    <w:rsid w:val="00C8501C"/>
    <w:rsid w:val="00C9124D"/>
    <w:rsid w:val="00CA6DFA"/>
    <w:rsid w:val="00CB15D7"/>
    <w:rsid w:val="00CB24A7"/>
    <w:rsid w:val="00CB5994"/>
    <w:rsid w:val="00CB6151"/>
    <w:rsid w:val="00CB64B0"/>
    <w:rsid w:val="00CC2C86"/>
    <w:rsid w:val="00CC6E3E"/>
    <w:rsid w:val="00CD40D8"/>
    <w:rsid w:val="00CD4CE6"/>
    <w:rsid w:val="00CE1FBE"/>
    <w:rsid w:val="00CE360A"/>
    <w:rsid w:val="00CE4FF2"/>
    <w:rsid w:val="00CE51E4"/>
    <w:rsid w:val="00CE6E50"/>
    <w:rsid w:val="00CF52E1"/>
    <w:rsid w:val="00D0042F"/>
    <w:rsid w:val="00D02426"/>
    <w:rsid w:val="00D025CB"/>
    <w:rsid w:val="00D0389F"/>
    <w:rsid w:val="00D052C0"/>
    <w:rsid w:val="00D06F32"/>
    <w:rsid w:val="00D0748E"/>
    <w:rsid w:val="00D104EB"/>
    <w:rsid w:val="00D1471D"/>
    <w:rsid w:val="00D20A20"/>
    <w:rsid w:val="00D21B32"/>
    <w:rsid w:val="00D23934"/>
    <w:rsid w:val="00D27FE7"/>
    <w:rsid w:val="00D33CBE"/>
    <w:rsid w:val="00D5447D"/>
    <w:rsid w:val="00D55772"/>
    <w:rsid w:val="00D55CC1"/>
    <w:rsid w:val="00D60D25"/>
    <w:rsid w:val="00D73158"/>
    <w:rsid w:val="00D751A0"/>
    <w:rsid w:val="00D75E0D"/>
    <w:rsid w:val="00D90A76"/>
    <w:rsid w:val="00DA326C"/>
    <w:rsid w:val="00DA4A5D"/>
    <w:rsid w:val="00DB0E60"/>
    <w:rsid w:val="00DB477B"/>
    <w:rsid w:val="00DB7A8C"/>
    <w:rsid w:val="00DC5370"/>
    <w:rsid w:val="00DD312E"/>
    <w:rsid w:val="00DD4030"/>
    <w:rsid w:val="00DD5EF8"/>
    <w:rsid w:val="00DE20BF"/>
    <w:rsid w:val="00DF06D5"/>
    <w:rsid w:val="00DF3B29"/>
    <w:rsid w:val="00E000F1"/>
    <w:rsid w:val="00E011C3"/>
    <w:rsid w:val="00E01733"/>
    <w:rsid w:val="00E04D30"/>
    <w:rsid w:val="00E06839"/>
    <w:rsid w:val="00E07598"/>
    <w:rsid w:val="00E07D20"/>
    <w:rsid w:val="00E105E7"/>
    <w:rsid w:val="00E106B9"/>
    <w:rsid w:val="00E12562"/>
    <w:rsid w:val="00E12C7E"/>
    <w:rsid w:val="00E245FB"/>
    <w:rsid w:val="00E27FAF"/>
    <w:rsid w:val="00E313B2"/>
    <w:rsid w:val="00E329FE"/>
    <w:rsid w:val="00E337C4"/>
    <w:rsid w:val="00E35640"/>
    <w:rsid w:val="00E36F16"/>
    <w:rsid w:val="00E37B76"/>
    <w:rsid w:val="00E41F49"/>
    <w:rsid w:val="00E4382E"/>
    <w:rsid w:val="00E43E3E"/>
    <w:rsid w:val="00E47E24"/>
    <w:rsid w:val="00E531EB"/>
    <w:rsid w:val="00E54996"/>
    <w:rsid w:val="00E578EB"/>
    <w:rsid w:val="00E6428B"/>
    <w:rsid w:val="00E6756C"/>
    <w:rsid w:val="00E70B2F"/>
    <w:rsid w:val="00E7616B"/>
    <w:rsid w:val="00E77EEC"/>
    <w:rsid w:val="00E808D1"/>
    <w:rsid w:val="00E818D0"/>
    <w:rsid w:val="00E83796"/>
    <w:rsid w:val="00E8410C"/>
    <w:rsid w:val="00E85466"/>
    <w:rsid w:val="00E91D0A"/>
    <w:rsid w:val="00E959E3"/>
    <w:rsid w:val="00EA6959"/>
    <w:rsid w:val="00EB43A6"/>
    <w:rsid w:val="00EB7C05"/>
    <w:rsid w:val="00EC0568"/>
    <w:rsid w:val="00EC09AD"/>
    <w:rsid w:val="00EE0BAE"/>
    <w:rsid w:val="00EE2F70"/>
    <w:rsid w:val="00EE6334"/>
    <w:rsid w:val="00EF1CA8"/>
    <w:rsid w:val="00EF47EB"/>
    <w:rsid w:val="00F0302E"/>
    <w:rsid w:val="00F1132F"/>
    <w:rsid w:val="00F1465E"/>
    <w:rsid w:val="00F169C4"/>
    <w:rsid w:val="00F27B60"/>
    <w:rsid w:val="00F3083C"/>
    <w:rsid w:val="00F36DB9"/>
    <w:rsid w:val="00F37400"/>
    <w:rsid w:val="00F4094E"/>
    <w:rsid w:val="00F449F4"/>
    <w:rsid w:val="00F47736"/>
    <w:rsid w:val="00F64049"/>
    <w:rsid w:val="00F663CE"/>
    <w:rsid w:val="00F66772"/>
    <w:rsid w:val="00F66BC1"/>
    <w:rsid w:val="00F719CD"/>
    <w:rsid w:val="00F71F6A"/>
    <w:rsid w:val="00F76A8E"/>
    <w:rsid w:val="00F77BB4"/>
    <w:rsid w:val="00F809E5"/>
    <w:rsid w:val="00F8207A"/>
    <w:rsid w:val="00F850BA"/>
    <w:rsid w:val="00F856A4"/>
    <w:rsid w:val="00F85AF9"/>
    <w:rsid w:val="00F865E9"/>
    <w:rsid w:val="00F90DE5"/>
    <w:rsid w:val="00FA1C87"/>
    <w:rsid w:val="00FA688B"/>
    <w:rsid w:val="00FB2D15"/>
    <w:rsid w:val="00FB38DF"/>
    <w:rsid w:val="00FB7DB1"/>
    <w:rsid w:val="00FC2A74"/>
    <w:rsid w:val="00FC56E4"/>
    <w:rsid w:val="00FD5FEA"/>
    <w:rsid w:val="00FD683B"/>
    <w:rsid w:val="00FE1710"/>
    <w:rsid w:val="00FE4BE1"/>
    <w:rsid w:val="00FE7525"/>
    <w:rsid w:val="00FF578A"/>
    <w:rsid w:val="016D4C86"/>
    <w:rsid w:val="025F2079"/>
    <w:rsid w:val="032B6666"/>
    <w:rsid w:val="03BC2916"/>
    <w:rsid w:val="03C93B93"/>
    <w:rsid w:val="03D5771E"/>
    <w:rsid w:val="044778E3"/>
    <w:rsid w:val="04CF0F42"/>
    <w:rsid w:val="04DD705D"/>
    <w:rsid w:val="06677CF5"/>
    <w:rsid w:val="068C42A6"/>
    <w:rsid w:val="06C811FA"/>
    <w:rsid w:val="06D50E5E"/>
    <w:rsid w:val="06E9399D"/>
    <w:rsid w:val="073B7609"/>
    <w:rsid w:val="07FE1C99"/>
    <w:rsid w:val="081211CC"/>
    <w:rsid w:val="081C67BC"/>
    <w:rsid w:val="089D4953"/>
    <w:rsid w:val="08E37054"/>
    <w:rsid w:val="0A762860"/>
    <w:rsid w:val="0B217D3F"/>
    <w:rsid w:val="0B845139"/>
    <w:rsid w:val="0B8A2FBA"/>
    <w:rsid w:val="0BD92F93"/>
    <w:rsid w:val="0C1A7CEF"/>
    <w:rsid w:val="0C680BFC"/>
    <w:rsid w:val="0C76650E"/>
    <w:rsid w:val="0CA22937"/>
    <w:rsid w:val="0D057011"/>
    <w:rsid w:val="0D85393C"/>
    <w:rsid w:val="0E204AE7"/>
    <w:rsid w:val="0E25787F"/>
    <w:rsid w:val="0E853D22"/>
    <w:rsid w:val="0F1113DA"/>
    <w:rsid w:val="0F3572B4"/>
    <w:rsid w:val="0FFD04CB"/>
    <w:rsid w:val="101841F9"/>
    <w:rsid w:val="107E39A7"/>
    <w:rsid w:val="117F4631"/>
    <w:rsid w:val="118F18BB"/>
    <w:rsid w:val="11AA4861"/>
    <w:rsid w:val="12395A29"/>
    <w:rsid w:val="128C1840"/>
    <w:rsid w:val="12AD766B"/>
    <w:rsid w:val="12E5318E"/>
    <w:rsid w:val="1319375E"/>
    <w:rsid w:val="13E04A23"/>
    <w:rsid w:val="13EF292D"/>
    <w:rsid w:val="1442017D"/>
    <w:rsid w:val="14A70B9C"/>
    <w:rsid w:val="14AD58C1"/>
    <w:rsid w:val="14D61575"/>
    <w:rsid w:val="15F9163E"/>
    <w:rsid w:val="160C1C89"/>
    <w:rsid w:val="16432F15"/>
    <w:rsid w:val="168D4180"/>
    <w:rsid w:val="16936BD2"/>
    <w:rsid w:val="16C025CD"/>
    <w:rsid w:val="16E744B0"/>
    <w:rsid w:val="16FD5DA9"/>
    <w:rsid w:val="1721410E"/>
    <w:rsid w:val="174B6B76"/>
    <w:rsid w:val="1799589A"/>
    <w:rsid w:val="1895654F"/>
    <w:rsid w:val="18D47233"/>
    <w:rsid w:val="18D70674"/>
    <w:rsid w:val="1AB413D8"/>
    <w:rsid w:val="1C7C2867"/>
    <w:rsid w:val="1C861951"/>
    <w:rsid w:val="1C8800DD"/>
    <w:rsid w:val="1C9571A6"/>
    <w:rsid w:val="1CF7974C"/>
    <w:rsid w:val="1CFC7816"/>
    <w:rsid w:val="1D0117ED"/>
    <w:rsid w:val="1D2E460C"/>
    <w:rsid w:val="1D5201B5"/>
    <w:rsid w:val="1DA768F1"/>
    <w:rsid w:val="1E0A4965"/>
    <w:rsid w:val="1E120DC4"/>
    <w:rsid w:val="1E436FCB"/>
    <w:rsid w:val="1E704105"/>
    <w:rsid w:val="1F0F3D2A"/>
    <w:rsid w:val="1F1A1BD2"/>
    <w:rsid w:val="1F2D246C"/>
    <w:rsid w:val="1F534127"/>
    <w:rsid w:val="1F974D64"/>
    <w:rsid w:val="1FA8131D"/>
    <w:rsid w:val="1FBF3F62"/>
    <w:rsid w:val="1FC67F5F"/>
    <w:rsid w:val="1FD045B8"/>
    <w:rsid w:val="1FF7B4F7"/>
    <w:rsid w:val="1FFC12EA"/>
    <w:rsid w:val="2013452E"/>
    <w:rsid w:val="20137D49"/>
    <w:rsid w:val="20D14525"/>
    <w:rsid w:val="21141ECC"/>
    <w:rsid w:val="22A31CD8"/>
    <w:rsid w:val="22E557BC"/>
    <w:rsid w:val="23B44672"/>
    <w:rsid w:val="24156E1F"/>
    <w:rsid w:val="241F075D"/>
    <w:rsid w:val="24380D8E"/>
    <w:rsid w:val="244703B3"/>
    <w:rsid w:val="271F037F"/>
    <w:rsid w:val="27A10458"/>
    <w:rsid w:val="27E5498B"/>
    <w:rsid w:val="292F4BD0"/>
    <w:rsid w:val="2966D0B6"/>
    <w:rsid w:val="29A12EFF"/>
    <w:rsid w:val="29C64B30"/>
    <w:rsid w:val="2AB31857"/>
    <w:rsid w:val="2AE33C64"/>
    <w:rsid w:val="2B064C56"/>
    <w:rsid w:val="2B383241"/>
    <w:rsid w:val="2BAE113F"/>
    <w:rsid w:val="2BFF93AA"/>
    <w:rsid w:val="2C6303E3"/>
    <w:rsid w:val="2CEC6B50"/>
    <w:rsid w:val="2DF720A2"/>
    <w:rsid w:val="2E3E5106"/>
    <w:rsid w:val="2E653947"/>
    <w:rsid w:val="2FB17366"/>
    <w:rsid w:val="2FBC1A60"/>
    <w:rsid w:val="2FC77B78"/>
    <w:rsid w:val="2FF56B29"/>
    <w:rsid w:val="30890BD3"/>
    <w:rsid w:val="30E43E01"/>
    <w:rsid w:val="31240B74"/>
    <w:rsid w:val="31994563"/>
    <w:rsid w:val="31FC1839"/>
    <w:rsid w:val="321C114D"/>
    <w:rsid w:val="336A336A"/>
    <w:rsid w:val="33EA24AF"/>
    <w:rsid w:val="34164C19"/>
    <w:rsid w:val="34470429"/>
    <w:rsid w:val="344B5352"/>
    <w:rsid w:val="35F34347"/>
    <w:rsid w:val="361D1060"/>
    <w:rsid w:val="366347D7"/>
    <w:rsid w:val="367F0604"/>
    <w:rsid w:val="36D365D4"/>
    <w:rsid w:val="37B13B82"/>
    <w:rsid w:val="37B5155B"/>
    <w:rsid w:val="387A1B39"/>
    <w:rsid w:val="38A06B80"/>
    <w:rsid w:val="38F9000F"/>
    <w:rsid w:val="397B464A"/>
    <w:rsid w:val="398B79A0"/>
    <w:rsid w:val="3A2570F8"/>
    <w:rsid w:val="3A7A6A9B"/>
    <w:rsid w:val="3A9656E4"/>
    <w:rsid w:val="3AAF83A3"/>
    <w:rsid w:val="3ABE3177"/>
    <w:rsid w:val="3B1172BB"/>
    <w:rsid w:val="3B9033B4"/>
    <w:rsid w:val="3B9C2BBA"/>
    <w:rsid w:val="3C176A7C"/>
    <w:rsid w:val="3C3B341C"/>
    <w:rsid w:val="3CC87528"/>
    <w:rsid w:val="3D4071EC"/>
    <w:rsid w:val="3DBD82AB"/>
    <w:rsid w:val="3E3C5D40"/>
    <w:rsid w:val="3E675C0A"/>
    <w:rsid w:val="3ED02F99"/>
    <w:rsid w:val="3EFD6FA7"/>
    <w:rsid w:val="3EFE7C95"/>
    <w:rsid w:val="3FB752D2"/>
    <w:rsid w:val="3FCF5368"/>
    <w:rsid w:val="403954F0"/>
    <w:rsid w:val="403C1AA2"/>
    <w:rsid w:val="40DD5EE4"/>
    <w:rsid w:val="41612ED2"/>
    <w:rsid w:val="418D7B3B"/>
    <w:rsid w:val="41DD5203"/>
    <w:rsid w:val="422C394C"/>
    <w:rsid w:val="42857CC9"/>
    <w:rsid w:val="43210F8C"/>
    <w:rsid w:val="434E5752"/>
    <w:rsid w:val="43673A21"/>
    <w:rsid w:val="43A22F4B"/>
    <w:rsid w:val="440A4092"/>
    <w:rsid w:val="4412168D"/>
    <w:rsid w:val="44990797"/>
    <w:rsid w:val="449947B5"/>
    <w:rsid w:val="45252F7C"/>
    <w:rsid w:val="45B210CD"/>
    <w:rsid w:val="45BF2E77"/>
    <w:rsid w:val="461C5EE8"/>
    <w:rsid w:val="46430DB2"/>
    <w:rsid w:val="46AD4811"/>
    <w:rsid w:val="47C03160"/>
    <w:rsid w:val="47FA7054"/>
    <w:rsid w:val="484F1A6F"/>
    <w:rsid w:val="4874308D"/>
    <w:rsid w:val="48953E8D"/>
    <w:rsid w:val="49282B28"/>
    <w:rsid w:val="49A23E43"/>
    <w:rsid w:val="4AB791E0"/>
    <w:rsid w:val="4B2E7C64"/>
    <w:rsid w:val="4BFE1543"/>
    <w:rsid w:val="4C4404BA"/>
    <w:rsid w:val="4C98614C"/>
    <w:rsid w:val="4CF140AB"/>
    <w:rsid w:val="4D2039CD"/>
    <w:rsid w:val="4F9D5D96"/>
    <w:rsid w:val="50085DEE"/>
    <w:rsid w:val="501F5997"/>
    <w:rsid w:val="503A1050"/>
    <w:rsid w:val="50860FF8"/>
    <w:rsid w:val="5090254B"/>
    <w:rsid w:val="50BA6CAB"/>
    <w:rsid w:val="50C87F5A"/>
    <w:rsid w:val="50D2711D"/>
    <w:rsid w:val="510E0E9B"/>
    <w:rsid w:val="53D91B58"/>
    <w:rsid w:val="543F3462"/>
    <w:rsid w:val="54553F83"/>
    <w:rsid w:val="54FE49B1"/>
    <w:rsid w:val="550B10E8"/>
    <w:rsid w:val="5541708F"/>
    <w:rsid w:val="55C67615"/>
    <w:rsid w:val="55F7AE9B"/>
    <w:rsid w:val="55FDCA3F"/>
    <w:rsid w:val="56AD2D63"/>
    <w:rsid w:val="56C02A96"/>
    <w:rsid w:val="56C1236A"/>
    <w:rsid w:val="572307C2"/>
    <w:rsid w:val="57A76FB7"/>
    <w:rsid w:val="587658C6"/>
    <w:rsid w:val="587C2A42"/>
    <w:rsid w:val="5A6B116E"/>
    <w:rsid w:val="5AA47678"/>
    <w:rsid w:val="5ABF41C0"/>
    <w:rsid w:val="5B8C451C"/>
    <w:rsid w:val="5B9D0F47"/>
    <w:rsid w:val="5BAC3F93"/>
    <w:rsid w:val="5BAF1E3E"/>
    <w:rsid w:val="5BD11725"/>
    <w:rsid w:val="5C4E4D9D"/>
    <w:rsid w:val="5D321208"/>
    <w:rsid w:val="5D7A5662"/>
    <w:rsid w:val="5DBF6716"/>
    <w:rsid w:val="5DF004E3"/>
    <w:rsid w:val="5E5F689B"/>
    <w:rsid w:val="5EBE76FD"/>
    <w:rsid w:val="5EE6123F"/>
    <w:rsid w:val="5F3A305E"/>
    <w:rsid w:val="5F9A7B07"/>
    <w:rsid w:val="5FBBE219"/>
    <w:rsid w:val="5FE332FE"/>
    <w:rsid w:val="5FF81D82"/>
    <w:rsid w:val="5FFB743A"/>
    <w:rsid w:val="600F51A7"/>
    <w:rsid w:val="61606D4A"/>
    <w:rsid w:val="6218225D"/>
    <w:rsid w:val="62840D34"/>
    <w:rsid w:val="62D4039E"/>
    <w:rsid w:val="631162A6"/>
    <w:rsid w:val="637346C5"/>
    <w:rsid w:val="638C7B44"/>
    <w:rsid w:val="63A66A05"/>
    <w:rsid w:val="63EB6A91"/>
    <w:rsid w:val="642F4DB7"/>
    <w:rsid w:val="6485002B"/>
    <w:rsid w:val="64A92ED2"/>
    <w:rsid w:val="64EC52EE"/>
    <w:rsid w:val="656E5DB3"/>
    <w:rsid w:val="657909DB"/>
    <w:rsid w:val="65A469A4"/>
    <w:rsid w:val="66097C9F"/>
    <w:rsid w:val="661E46E7"/>
    <w:rsid w:val="6657743C"/>
    <w:rsid w:val="665E154A"/>
    <w:rsid w:val="66E8749F"/>
    <w:rsid w:val="67131F5F"/>
    <w:rsid w:val="681E0BBB"/>
    <w:rsid w:val="687B2F21"/>
    <w:rsid w:val="691671E6"/>
    <w:rsid w:val="69604662"/>
    <w:rsid w:val="69933663"/>
    <w:rsid w:val="69D26EC6"/>
    <w:rsid w:val="6A545346"/>
    <w:rsid w:val="6A7F36E3"/>
    <w:rsid w:val="6C7A2657"/>
    <w:rsid w:val="6E8468B2"/>
    <w:rsid w:val="6EAB07AE"/>
    <w:rsid w:val="6EEE5924"/>
    <w:rsid w:val="6F246E21"/>
    <w:rsid w:val="6F5B57A1"/>
    <w:rsid w:val="6F7B90C4"/>
    <w:rsid w:val="6FF75B91"/>
    <w:rsid w:val="70937259"/>
    <w:rsid w:val="70CB33EC"/>
    <w:rsid w:val="70ED335E"/>
    <w:rsid w:val="70F66899"/>
    <w:rsid w:val="713D7682"/>
    <w:rsid w:val="717F5663"/>
    <w:rsid w:val="721D0945"/>
    <w:rsid w:val="726F6224"/>
    <w:rsid w:val="72D118FD"/>
    <w:rsid w:val="72E614AB"/>
    <w:rsid w:val="72F832F9"/>
    <w:rsid w:val="733A20E6"/>
    <w:rsid w:val="73572D10"/>
    <w:rsid w:val="735C2F4A"/>
    <w:rsid w:val="73AA4E22"/>
    <w:rsid w:val="73CF1EC7"/>
    <w:rsid w:val="74462653"/>
    <w:rsid w:val="745137EA"/>
    <w:rsid w:val="747C03BE"/>
    <w:rsid w:val="74BE1AE3"/>
    <w:rsid w:val="74E06F18"/>
    <w:rsid w:val="7510653F"/>
    <w:rsid w:val="75183646"/>
    <w:rsid w:val="75480120"/>
    <w:rsid w:val="758623E3"/>
    <w:rsid w:val="75970C6A"/>
    <w:rsid w:val="75D6BD4E"/>
    <w:rsid w:val="75DB728D"/>
    <w:rsid w:val="761801BA"/>
    <w:rsid w:val="764B0603"/>
    <w:rsid w:val="76FA069B"/>
    <w:rsid w:val="771663FA"/>
    <w:rsid w:val="777321F1"/>
    <w:rsid w:val="77E87215"/>
    <w:rsid w:val="77F7646A"/>
    <w:rsid w:val="78113F48"/>
    <w:rsid w:val="787BF5FD"/>
    <w:rsid w:val="78C7785D"/>
    <w:rsid w:val="79653FD3"/>
    <w:rsid w:val="79A454A8"/>
    <w:rsid w:val="79A65BD3"/>
    <w:rsid w:val="7A14293F"/>
    <w:rsid w:val="7A471DFB"/>
    <w:rsid w:val="7AFFF539"/>
    <w:rsid w:val="7B0109E6"/>
    <w:rsid w:val="7B293EF9"/>
    <w:rsid w:val="7B3FE331"/>
    <w:rsid w:val="7BF7CB44"/>
    <w:rsid w:val="7BFAE218"/>
    <w:rsid w:val="7BFFBFA2"/>
    <w:rsid w:val="7C480063"/>
    <w:rsid w:val="7DBF856F"/>
    <w:rsid w:val="7DD73A60"/>
    <w:rsid w:val="7DDF403B"/>
    <w:rsid w:val="7DED3759"/>
    <w:rsid w:val="7E8643CA"/>
    <w:rsid w:val="7EC959CA"/>
    <w:rsid w:val="7EFD0723"/>
    <w:rsid w:val="7EFDB85D"/>
    <w:rsid w:val="7F5EC641"/>
    <w:rsid w:val="7F7EA7A0"/>
    <w:rsid w:val="7F9A1D61"/>
    <w:rsid w:val="7FA912B5"/>
    <w:rsid w:val="7FCF5B3D"/>
    <w:rsid w:val="7FF4A625"/>
    <w:rsid w:val="7FFF184F"/>
    <w:rsid w:val="7FFF251A"/>
    <w:rsid w:val="9F6F4F43"/>
    <w:rsid w:val="B53FA06F"/>
    <w:rsid w:val="BBBEFCBC"/>
    <w:rsid w:val="BCFE828A"/>
    <w:rsid w:val="C1CBBC26"/>
    <w:rsid w:val="D63E7185"/>
    <w:rsid w:val="D6FA0B45"/>
    <w:rsid w:val="DFBF44C7"/>
    <w:rsid w:val="E0F537D3"/>
    <w:rsid w:val="EDFF2039"/>
    <w:rsid w:val="F43D000B"/>
    <w:rsid w:val="F7DEE8C7"/>
    <w:rsid w:val="F96B0D55"/>
    <w:rsid w:val="FB7DC49E"/>
    <w:rsid w:val="FBAF122E"/>
    <w:rsid w:val="FBBC95AE"/>
    <w:rsid w:val="FBEA8764"/>
    <w:rsid w:val="FBEB582B"/>
    <w:rsid w:val="FCED9B27"/>
    <w:rsid w:val="FD3D065A"/>
    <w:rsid w:val="FD631D45"/>
    <w:rsid w:val="FDCA9B0D"/>
    <w:rsid w:val="FE7D8EB0"/>
    <w:rsid w:val="FEBDFB0A"/>
    <w:rsid w:val="FFBF3AB8"/>
    <w:rsid w:val="FFDE7E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qFormat="1" w:uiPriority="0" w:semiHidden="0"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qFormat="1"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360" w:lineRule="auto"/>
      <w:ind w:firstLine="200" w:firstLineChars="200"/>
      <w:jc w:val="both"/>
    </w:pPr>
    <w:rPr>
      <w:rFonts w:eastAsia="仿宋_GB2312" w:asciiTheme="minorHAnsi" w:hAnsiTheme="minorHAnsi" w:cstheme="minorBidi"/>
      <w:kern w:val="2"/>
      <w:sz w:val="32"/>
      <w:szCs w:val="22"/>
      <w:lang w:val="en-US" w:eastAsia="zh-CN" w:bidi="ar-SA"/>
    </w:rPr>
  </w:style>
  <w:style w:type="paragraph" w:styleId="2">
    <w:name w:val="heading 1"/>
    <w:basedOn w:val="1"/>
    <w:next w:val="1"/>
    <w:link w:val="38"/>
    <w:qFormat/>
    <w:uiPriority w:val="9"/>
    <w:pPr>
      <w:keepNext/>
      <w:keepLines/>
      <w:spacing w:before="340" w:line="578" w:lineRule="auto"/>
      <w:outlineLvl w:val="0"/>
    </w:pPr>
    <w:rPr>
      <w:rFonts w:eastAsia="黑体"/>
      <w:b/>
      <w:bCs/>
      <w:kern w:val="44"/>
      <w:szCs w:val="44"/>
    </w:rPr>
  </w:style>
  <w:style w:type="paragraph" w:styleId="3">
    <w:name w:val="heading 2"/>
    <w:basedOn w:val="1"/>
    <w:next w:val="1"/>
    <w:link w:val="39"/>
    <w:unhideWhenUsed/>
    <w:qFormat/>
    <w:uiPriority w:val="9"/>
    <w:pPr>
      <w:keepNext/>
      <w:keepLines/>
      <w:spacing w:before="260" w:after="260"/>
      <w:outlineLvl w:val="1"/>
    </w:pPr>
    <w:rPr>
      <w:rFonts w:eastAsia="楷体_GB2312" w:asciiTheme="majorHAnsi" w:hAnsiTheme="majorHAnsi" w:cstheme="majorBidi"/>
      <w:b/>
      <w:bCs/>
      <w:szCs w:val="32"/>
    </w:rPr>
  </w:style>
  <w:style w:type="paragraph" w:styleId="4">
    <w:name w:val="heading 3"/>
    <w:basedOn w:val="1"/>
    <w:next w:val="1"/>
    <w:link w:val="40"/>
    <w:unhideWhenUsed/>
    <w:qFormat/>
    <w:uiPriority w:val="9"/>
    <w:pPr>
      <w:keepNext/>
      <w:keepLines/>
      <w:spacing w:before="160" w:after="80"/>
      <w:outlineLvl w:val="2"/>
    </w:pPr>
    <w:rPr>
      <w:rFonts w:asciiTheme="majorHAnsi" w:hAnsiTheme="majorHAnsi" w:cstheme="majorBidi"/>
      <w:b/>
      <w:szCs w:val="32"/>
    </w:rPr>
  </w:style>
  <w:style w:type="paragraph" w:styleId="5">
    <w:name w:val="heading 4"/>
    <w:basedOn w:val="1"/>
    <w:next w:val="1"/>
    <w:link w:val="42"/>
    <w:unhideWhenUsed/>
    <w:qFormat/>
    <w:uiPriority w:val="9"/>
    <w:pPr>
      <w:keepNext/>
      <w:keepLines/>
      <w:spacing w:before="80" w:after="40"/>
      <w:outlineLvl w:val="3"/>
    </w:pPr>
    <w:rPr>
      <w:rFonts w:cstheme="majorBidi"/>
      <w:b/>
      <w:szCs w:val="28"/>
    </w:rPr>
  </w:style>
  <w:style w:type="paragraph" w:styleId="6">
    <w:name w:val="heading 5"/>
    <w:basedOn w:val="1"/>
    <w:next w:val="1"/>
    <w:link w:val="43"/>
    <w:unhideWhenUsed/>
    <w:qFormat/>
    <w:uiPriority w:val="9"/>
    <w:pPr>
      <w:keepNext/>
      <w:keepLines/>
      <w:spacing w:before="80" w:after="40"/>
      <w:outlineLvl w:val="4"/>
    </w:pPr>
    <w:rPr>
      <w:rFonts w:eastAsiaTheme="minorEastAsia" w:cstheme="majorBidi"/>
      <w:color w:val="2F5597" w:themeColor="accent1" w:themeShade="BF"/>
      <w:sz w:val="24"/>
    </w:rPr>
  </w:style>
  <w:style w:type="paragraph" w:styleId="7">
    <w:name w:val="heading 6"/>
    <w:basedOn w:val="1"/>
    <w:next w:val="1"/>
    <w:link w:val="44"/>
    <w:unhideWhenUsed/>
    <w:qFormat/>
    <w:uiPriority w:val="9"/>
    <w:pPr>
      <w:keepNext/>
      <w:keepLines/>
      <w:spacing w:before="40"/>
      <w:outlineLvl w:val="5"/>
    </w:pPr>
    <w:rPr>
      <w:rFonts w:eastAsiaTheme="minorEastAsia" w:cstheme="majorBidi"/>
      <w:b/>
      <w:bCs/>
      <w:color w:val="2F5597" w:themeColor="accent1" w:themeShade="BF"/>
    </w:rPr>
  </w:style>
  <w:style w:type="paragraph" w:styleId="8">
    <w:name w:val="heading 7"/>
    <w:basedOn w:val="1"/>
    <w:next w:val="1"/>
    <w:link w:val="45"/>
    <w:unhideWhenUsed/>
    <w:qFormat/>
    <w:uiPriority w:val="9"/>
    <w:pPr>
      <w:keepNext/>
      <w:keepLines/>
      <w:spacing w:before="40"/>
      <w:outlineLvl w:val="6"/>
    </w:pPr>
    <w:rPr>
      <w:rFonts w:eastAsiaTheme="minorEastAsia"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46"/>
    <w:unhideWhenUsed/>
    <w:qFormat/>
    <w:uiPriority w:val="9"/>
    <w:pPr>
      <w:keepNext/>
      <w:keepLines/>
      <w:outlineLvl w:val="7"/>
    </w:pPr>
    <w:rPr>
      <w:rFonts w:eastAsiaTheme="minorEastAsia"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47"/>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unhideWhenUsed/>
    <w:qFormat/>
    <w:uiPriority w:val="39"/>
    <w:pPr>
      <w:ind w:left="1920"/>
      <w:jc w:val="left"/>
    </w:pPr>
    <w:rPr>
      <w:rFonts w:eastAsiaTheme="minorHAnsi"/>
      <w:sz w:val="18"/>
      <w:szCs w:val="18"/>
    </w:rPr>
  </w:style>
  <w:style w:type="paragraph" w:styleId="12">
    <w:name w:val="caption"/>
    <w:basedOn w:val="1"/>
    <w:next w:val="1"/>
    <w:unhideWhenUsed/>
    <w:qFormat/>
    <w:uiPriority w:val="35"/>
    <w:pPr>
      <w:spacing w:line="560" w:lineRule="exact"/>
    </w:pPr>
    <w:rPr>
      <w:rFonts w:eastAsia="黑体" w:asciiTheme="majorHAnsi" w:hAnsiTheme="majorHAnsi" w:cstheme="majorBidi"/>
      <w:sz w:val="20"/>
      <w:szCs w:val="20"/>
    </w:rPr>
  </w:style>
  <w:style w:type="paragraph" w:styleId="13">
    <w:name w:val="annotation text"/>
    <w:basedOn w:val="1"/>
    <w:unhideWhenUsed/>
    <w:qFormat/>
    <w:uiPriority w:val="99"/>
    <w:pPr>
      <w:jc w:val="left"/>
    </w:pPr>
  </w:style>
  <w:style w:type="paragraph" w:styleId="14">
    <w:name w:val="Body Text Indent"/>
    <w:basedOn w:val="1"/>
    <w:unhideWhenUsed/>
    <w:qFormat/>
    <w:uiPriority w:val="99"/>
    <w:pPr>
      <w:spacing w:after="120"/>
      <w:ind w:left="420" w:leftChars="200"/>
    </w:pPr>
  </w:style>
  <w:style w:type="paragraph" w:styleId="15">
    <w:name w:val="toc 5"/>
    <w:basedOn w:val="1"/>
    <w:next w:val="1"/>
    <w:unhideWhenUsed/>
    <w:qFormat/>
    <w:uiPriority w:val="39"/>
    <w:pPr>
      <w:ind w:left="1280"/>
      <w:jc w:val="left"/>
    </w:pPr>
    <w:rPr>
      <w:rFonts w:eastAsiaTheme="minorHAnsi"/>
      <w:sz w:val="18"/>
      <w:szCs w:val="18"/>
    </w:rPr>
  </w:style>
  <w:style w:type="paragraph" w:styleId="16">
    <w:name w:val="toc 3"/>
    <w:basedOn w:val="1"/>
    <w:next w:val="1"/>
    <w:unhideWhenUsed/>
    <w:qFormat/>
    <w:uiPriority w:val="39"/>
    <w:pPr>
      <w:spacing w:line="240" w:lineRule="auto"/>
      <w:ind w:left="641" w:firstLine="0" w:firstLineChars="0"/>
      <w:jc w:val="left"/>
    </w:pPr>
    <w:rPr>
      <w:rFonts w:eastAsia="仿宋"/>
      <w:iCs/>
      <w:sz w:val="28"/>
      <w:szCs w:val="20"/>
    </w:rPr>
  </w:style>
  <w:style w:type="paragraph" w:styleId="17">
    <w:name w:val="toc 8"/>
    <w:basedOn w:val="1"/>
    <w:next w:val="1"/>
    <w:unhideWhenUsed/>
    <w:qFormat/>
    <w:uiPriority w:val="39"/>
    <w:pPr>
      <w:ind w:left="2240"/>
      <w:jc w:val="left"/>
    </w:pPr>
    <w:rPr>
      <w:rFonts w:eastAsiaTheme="minorHAnsi"/>
      <w:sz w:val="18"/>
      <w:szCs w:val="18"/>
    </w:rPr>
  </w:style>
  <w:style w:type="paragraph" w:styleId="18">
    <w:name w:val="Balloon Text"/>
    <w:basedOn w:val="1"/>
    <w:link w:val="56"/>
    <w:unhideWhenUsed/>
    <w:qFormat/>
    <w:uiPriority w:val="99"/>
    <w:pPr>
      <w:spacing w:line="240" w:lineRule="auto"/>
    </w:pPr>
    <w:rPr>
      <w:sz w:val="18"/>
      <w:szCs w:val="18"/>
    </w:rPr>
  </w:style>
  <w:style w:type="paragraph" w:styleId="19">
    <w:name w:val="footer"/>
    <w:basedOn w:val="1"/>
    <w:link w:val="57"/>
    <w:unhideWhenUsed/>
    <w:qFormat/>
    <w:uiPriority w:val="99"/>
    <w:pPr>
      <w:tabs>
        <w:tab w:val="center" w:pos="4153"/>
        <w:tab w:val="right" w:pos="8306"/>
      </w:tabs>
      <w:snapToGrid w:val="0"/>
      <w:spacing w:line="240" w:lineRule="auto"/>
      <w:jc w:val="left"/>
    </w:pPr>
    <w:rPr>
      <w:sz w:val="18"/>
      <w:szCs w:val="18"/>
    </w:rPr>
  </w:style>
  <w:style w:type="paragraph" w:styleId="20">
    <w:name w:val="header"/>
    <w:basedOn w:val="1"/>
    <w:link w:val="58"/>
    <w:unhideWhenUsed/>
    <w:qFormat/>
    <w:uiPriority w:val="99"/>
    <w:pPr>
      <w:tabs>
        <w:tab w:val="center" w:pos="4153"/>
        <w:tab w:val="right" w:pos="8306"/>
      </w:tabs>
      <w:snapToGrid w:val="0"/>
      <w:spacing w:line="240" w:lineRule="auto"/>
      <w:jc w:val="center"/>
    </w:pPr>
    <w:rPr>
      <w:sz w:val="18"/>
      <w:szCs w:val="18"/>
    </w:rPr>
  </w:style>
  <w:style w:type="paragraph" w:styleId="21">
    <w:name w:val="toc 1"/>
    <w:basedOn w:val="1"/>
    <w:next w:val="1"/>
    <w:unhideWhenUsed/>
    <w:qFormat/>
    <w:uiPriority w:val="39"/>
    <w:pPr>
      <w:tabs>
        <w:tab w:val="right" w:leader="dot" w:pos="8296"/>
      </w:tabs>
      <w:ind w:firstLine="0" w:firstLineChars="0"/>
      <w:jc w:val="left"/>
    </w:pPr>
    <w:rPr>
      <w:rFonts w:ascii="黑体" w:hAnsi="黑体" w:eastAsia="黑体"/>
      <w:b/>
      <w:bCs/>
      <w:caps/>
      <w:sz w:val="30"/>
      <w:szCs w:val="32"/>
    </w:rPr>
  </w:style>
  <w:style w:type="paragraph" w:styleId="22">
    <w:name w:val="toc 4"/>
    <w:basedOn w:val="1"/>
    <w:next w:val="1"/>
    <w:unhideWhenUsed/>
    <w:qFormat/>
    <w:uiPriority w:val="39"/>
    <w:pPr>
      <w:ind w:left="960"/>
      <w:jc w:val="left"/>
    </w:pPr>
    <w:rPr>
      <w:rFonts w:eastAsiaTheme="minorHAnsi"/>
      <w:sz w:val="18"/>
      <w:szCs w:val="18"/>
    </w:rPr>
  </w:style>
  <w:style w:type="paragraph" w:styleId="23">
    <w:name w:val="Subtitle"/>
    <w:basedOn w:val="1"/>
    <w:next w:val="1"/>
    <w:link w:val="48"/>
    <w:qFormat/>
    <w:uiPriority w:val="11"/>
    <w:pPr>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4">
    <w:name w:val="footnote text"/>
    <w:basedOn w:val="1"/>
    <w:next w:val="25"/>
    <w:link w:val="59"/>
    <w:unhideWhenUsed/>
    <w:qFormat/>
    <w:uiPriority w:val="0"/>
    <w:pPr>
      <w:snapToGrid w:val="0"/>
      <w:jc w:val="left"/>
    </w:pPr>
    <w:rPr>
      <w:sz w:val="18"/>
      <w:szCs w:val="18"/>
    </w:rPr>
  </w:style>
  <w:style w:type="paragraph" w:styleId="25">
    <w:name w:val="Body Text First Indent 2"/>
    <w:basedOn w:val="14"/>
    <w:unhideWhenUsed/>
    <w:qFormat/>
    <w:uiPriority w:val="99"/>
    <w:pPr>
      <w:ind w:firstLine="420"/>
    </w:pPr>
  </w:style>
  <w:style w:type="paragraph" w:styleId="26">
    <w:name w:val="toc 6"/>
    <w:basedOn w:val="1"/>
    <w:next w:val="1"/>
    <w:unhideWhenUsed/>
    <w:qFormat/>
    <w:uiPriority w:val="39"/>
    <w:pPr>
      <w:ind w:left="1600"/>
      <w:jc w:val="left"/>
    </w:pPr>
    <w:rPr>
      <w:rFonts w:eastAsiaTheme="minorHAnsi"/>
      <w:sz w:val="18"/>
      <w:szCs w:val="18"/>
    </w:rPr>
  </w:style>
  <w:style w:type="paragraph" w:styleId="27">
    <w:name w:val="toc 2"/>
    <w:basedOn w:val="1"/>
    <w:next w:val="1"/>
    <w:unhideWhenUsed/>
    <w:qFormat/>
    <w:uiPriority w:val="39"/>
    <w:pPr>
      <w:tabs>
        <w:tab w:val="right" w:leader="dot" w:pos="8296"/>
      </w:tabs>
      <w:spacing w:line="240" w:lineRule="auto"/>
      <w:ind w:left="318" w:firstLine="0" w:firstLineChars="0"/>
      <w:jc w:val="left"/>
    </w:pPr>
    <w:rPr>
      <w:rFonts w:ascii="仿宋" w:hAnsi="仿宋" w:eastAsia="仿宋"/>
      <w:b/>
      <w:smallCaps/>
      <w:sz w:val="28"/>
      <w:szCs w:val="30"/>
    </w:rPr>
  </w:style>
  <w:style w:type="paragraph" w:styleId="28">
    <w:name w:val="toc 9"/>
    <w:basedOn w:val="1"/>
    <w:next w:val="1"/>
    <w:unhideWhenUsed/>
    <w:qFormat/>
    <w:uiPriority w:val="39"/>
    <w:pPr>
      <w:ind w:left="2560"/>
      <w:jc w:val="left"/>
    </w:pPr>
    <w:rPr>
      <w:rFonts w:eastAsiaTheme="minorHAnsi"/>
      <w:sz w:val="18"/>
      <w:szCs w:val="18"/>
    </w:rPr>
  </w:style>
  <w:style w:type="paragraph" w:styleId="29">
    <w:name w:val="Normal (Web)"/>
    <w:basedOn w:val="1"/>
    <w:unhideWhenUsed/>
    <w:qFormat/>
    <w:uiPriority w:val="99"/>
    <w:pPr>
      <w:widowControl/>
      <w:spacing w:before="100" w:beforeAutospacing="1" w:after="100" w:afterAutospacing="1" w:line="240" w:lineRule="auto"/>
      <w:ind w:firstLine="0" w:firstLineChars="0"/>
      <w:jc w:val="left"/>
    </w:pPr>
    <w:rPr>
      <w:rFonts w:ascii="宋体" w:hAnsi="宋体" w:cs="宋体"/>
      <w:kern w:val="0"/>
      <w:szCs w:val="24"/>
    </w:rPr>
  </w:style>
  <w:style w:type="paragraph" w:styleId="30">
    <w:name w:val="Title"/>
    <w:basedOn w:val="1"/>
    <w:next w:val="1"/>
    <w:link w:val="41"/>
    <w:qFormat/>
    <w:uiPriority w:val="10"/>
    <w:pPr>
      <w:spacing w:after="80"/>
      <w:contextualSpacing/>
      <w:jc w:val="center"/>
    </w:pPr>
    <w:rPr>
      <w:rFonts w:eastAsia="方正小标宋简体" w:asciiTheme="majorHAnsi" w:hAnsiTheme="majorHAnsi" w:cstheme="majorBidi"/>
      <w:spacing w:val="-10"/>
      <w:kern w:val="28"/>
      <w:sz w:val="40"/>
      <w:szCs w:val="56"/>
    </w:rPr>
  </w:style>
  <w:style w:type="table" w:styleId="32">
    <w:name w:val="Table Grid"/>
    <w:basedOn w:val="31"/>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FollowedHyperlink"/>
    <w:basedOn w:val="33"/>
    <w:unhideWhenUsed/>
    <w:qFormat/>
    <w:uiPriority w:val="99"/>
    <w:rPr>
      <w:color w:val="800080"/>
      <w:u w:val="single"/>
    </w:rPr>
  </w:style>
  <w:style w:type="character" w:styleId="35">
    <w:name w:val="Emphasis"/>
    <w:basedOn w:val="33"/>
    <w:qFormat/>
    <w:uiPriority w:val="20"/>
    <w:rPr>
      <w:i/>
    </w:rPr>
  </w:style>
  <w:style w:type="character" w:styleId="36">
    <w:name w:val="Hyperlink"/>
    <w:basedOn w:val="33"/>
    <w:unhideWhenUsed/>
    <w:qFormat/>
    <w:uiPriority w:val="99"/>
    <w:rPr>
      <w:color w:val="0563C1" w:themeColor="hyperlink"/>
      <w:u w:val="single"/>
      <w14:textFill>
        <w14:solidFill>
          <w14:schemeClr w14:val="hlink"/>
        </w14:solidFill>
      </w14:textFill>
    </w:rPr>
  </w:style>
  <w:style w:type="character" w:styleId="37">
    <w:name w:val="footnote reference"/>
    <w:basedOn w:val="33"/>
    <w:unhideWhenUsed/>
    <w:qFormat/>
    <w:uiPriority w:val="0"/>
    <w:rPr>
      <w:vertAlign w:val="superscript"/>
    </w:rPr>
  </w:style>
  <w:style w:type="character" w:customStyle="1" w:styleId="38">
    <w:name w:val="标题 1 字符"/>
    <w:basedOn w:val="33"/>
    <w:link w:val="2"/>
    <w:qFormat/>
    <w:uiPriority w:val="9"/>
    <w:rPr>
      <w:rFonts w:eastAsia="黑体"/>
      <w:b/>
      <w:bCs/>
      <w:kern w:val="44"/>
      <w:sz w:val="32"/>
      <w:szCs w:val="44"/>
    </w:rPr>
  </w:style>
  <w:style w:type="character" w:customStyle="1" w:styleId="39">
    <w:name w:val="标题 2 字符"/>
    <w:basedOn w:val="33"/>
    <w:link w:val="3"/>
    <w:qFormat/>
    <w:uiPriority w:val="9"/>
    <w:rPr>
      <w:rFonts w:eastAsia="楷体_GB2312" w:asciiTheme="majorHAnsi" w:hAnsiTheme="majorHAnsi" w:cstheme="majorBidi"/>
      <w:b/>
      <w:bCs/>
      <w:kern w:val="2"/>
      <w:sz w:val="32"/>
      <w:szCs w:val="32"/>
    </w:rPr>
  </w:style>
  <w:style w:type="character" w:customStyle="1" w:styleId="40">
    <w:name w:val="标题 3 字符"/>
    <w:basedOn w:val="33"/>
    <w:link w:val="4"/>
    <w:qFormat/>
    <w:uiPriority w:val="9"/>
    <w:rPr>
      <w:rFonts w:eastAsia="仿宋_GB2312" w:asciiTheme="majorHAnsi" w:hAnsiTheme="majorHAnsi" w:cstheme="majorBidi"/>
      <w:b/>
      <w:sz w:val="32"/>
      <w:szCs w:val="32"/>
    </w:rPr>
  </w:style>
  <w:style w:type="character" w:customStyle="1" w:styleId="41">
    <w:name w:val="标题 字符"/>
    <w:basedOn w:val="33"/>
    <w:link w:val="30"/>
    <w:qFormat/>
    <w:uiPriority w:val="10"/>
    <w:rPr>
      <w:rFonts w:eastAsia="方正小标宋简体" w:asciiTheme="majorHAnsi" w:hAnsiTheme="majorHAnsi" w:cstheme="majorBidi"/>
      <w:spacing w:val="-10"/>
      <w:kern w:val="28"/>
      <w:sz w:val="40"/>
      <w:szCs w:val="56"/>
    </w:rPr>
  </w:style>
  <w:style w:type="character" w:customStyle="1" w:styleId="42">
    <w:name w:val="标题 4 字符"/>
    <w:basedOn w:val="33"/>
    <w:link w:val="5"/>
    <w:qFormat/>
    <w:uiPriority w:val="9"/>
    <w:rPr>
      <w:rFonts w:eastAsia="仿宋_GB2312" w:cstheme="majorBidi"/>
      <w:b/>
      <w:kern w:val="0"/>
      <w:sz w:val="32"/>
      <w:szCs w:val="28"/>
    </w:rPr>
  </w:style>
  <w:style w:type="character" w:customStyle="1" w:styleId="43">
    <w:name w:val="标题 5 字符"/>
    <w:basedOn w:val="33"/>
    <w:link w:val="6"/>
    <w:semiHidden/>
    <w:qFormat/>
    <w:uiPriority w:val="9"/>
    <w:rPr>
      <w:rFonts w:cstheme="majorBidi"/>
      <w:color w:val="2F5597" w:themeColor="accent1" w:themeShade="BF"/>
      <w:sz w:val="24"/>
      <w:szCs w:val="24"/>
    </w:rPr>
  </w:style>
  <w:style w:type="character" w:customStyle="1" w:styleId="44">
    <w:name w:val="标题 6 字符"/>
    <w:basedOn w:val="33"/>
    <w:link w:val="7"/>
    <w:semiHidden/>
    <w:qFormat/>
    <w:uiPriority w:val="9"/>
    <w:rPr>
      <w:rFonts w:cstheme="majorBidi"/>
      <w:b/>
      <w:bCs/>
      <w:color w:val="2F5597" w:themeColor="accent1" w:themeShade="BF"/>
      <w:sz w:val="32"/>
      <w:szCs w:val="24"/>
    </w:rPr>
  </w:style>
  <w:style w:type="character" w:customStyle="1" w:styleId="45">
    <w:name w:val="标题 7 字符"/>
    <w:basedOn w:val="33"/>
    <w:link w:val="8"/>
    <w:semiHidden/>
    <w:qFormat/>
    <w:uiPriority w:val="9"/>
    <w:rPr>
      <w:rFonts w:cstheme="majorBidi"/>
      <w:b/>
      <w:bCs/>
      <w:color w:val="595959" w:themeColor="text1" w:themeTint="A6"/>
      <w:sz w:val="32"/>
      <w:szCs w:val="24"/>
      <w14:textFill>
        <w14:solidFill>
          <w14:schemeClr w14:val="tx1">
            <w14:lumMod w14:val="65000"/>
            <w14:lumOff w14:val="35000"/>
          </w14:schemeClr>
        </w14:solidFill>
      </w14:textFill>
    </w:rPr>
  </w:style>
  <w:style w:type="character" w:customStyle="1" w:styleId="46">
    <w:name w:val="标题 8 字符"/>
    <w:basedOn w:val="33"/>
    <w:link w:val="9"/>
    <w:semiHidden/>
    <w:qFormat/>
    <w:uiPriority w:val="9"/>
    <w:rPr>
      <w:rFonts w:cstheme="majorBidi"/>
      <w:color w:val="595959" w:themeColor="text1" w:themeTint="A6"/>
      <w:sz w:val="32"/>
      <w:szCs w:val="24"/>
      <w14:textFill>
        <w14:solidFill>
          <w14:schemeClr w14:val="tx1">
            <w14:lumMod w14:val="65000"/>
            <w14:lumOff w14:val="35000"/>
          </w14:schemeClr>
        </w14:solidFill>
      </w14:textFill>
    </w:rPr>
  </w:style>
  <w:style w:type="character" w:customStyle="1" w:styleId="47">
    <w:name w:val="标题 9 字符"/>
    <w:basedOn w:val="33"/>
    <w:link w:val="10"/>
    <w:semiHidden/>
    <w:qFormat/>
    <w:uiPriority w:val="9"/>
    <w:rPr>
      <w:rFonts w:eastAsiaTheme="majorEastAsia" w:cstheme="majorBidi"/>
      <w:color w:val="595959" w:themeColor="text1" w:themeTint="A6"/>
      <w:sz w:val="32"/>
      <w:szCs w:val="24"/>
      <w14:textFill>
        <w14:solidFill>
          <w14:schemeClr w14:val="tx1">
            <w14:lumMod w14:val="65000"/>
            <w14:lumOff w14:val="35000"/>
          </w14:schemeClr>
        </w14:solidFill>
      </w14:textFill>
    </w:rPr>
  </w:style>
  <w:style w:type="character" w:customStyle="1" w:styleId="48">
    <w:name w:val="副标题 字符"/>
    <w:basedOn w:val="33"/>
    <w:link w:val="23"/>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customStyle="1" w:styleId="49">
    <w:name w:val="引用1"/>
    <w:basedOn w:val="1"/>
    <w:next w:val="1"/>
    <w:link w:val="50"/>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50">
    <w:name w:val="引用 字符"/>
    <w:basedOn w:val="33"/>
    <w:link w:val="49"/>
    <w:qFormat/>
    <w:uiPriority w:val="29"/>
    <w:rPr>
      <w:rFonts w:ascii="Calibri" w:hAnsi="Calibri" w:eastAsia="仿宋_GB2312" w:cs="Times New Roman"/>
      <w:i/>
      <w:iCs/>
      <w:color w:val="404040" w:themeColor="text1" w:themeTint="BF"/>
      <w:sz w:val="32"/>
      <w:szCs w:val="24"/>
      <w14:textFill>
        <w14:solidFill>
          <w14:schemeClr w14:val="tx1">
            <w14:lumMod w14:val="75000"/>
            <w14:lumOff w14:val="25000"/>
          </w14:schemeClr>
        </w14:solidFill>
      </w14:textFill>
    </w:rPr>
  </w:style>
  <w:style w:type="paragraph" w:customStyle="1" w:styleId="51">
    <w:name w:val="列表段落1"/>
    <w:basedOn w:val="1"/>
    <w:qFormat/>
    <w:uiPriority w:val="99"/>
    <w:pPr>
      <w:ind w:left="720"/>
      <w:contextualSpacing/>
    </w:pPr>
  </w:style>
  <w:style w:type="character" w:customStyle="1" w:styleId="52">
    <w:name w:val="明显强调1"/>
    <w:basedOn w:val="33"/>
    <w:qFormat/>
    <w:uiPriority w:val="21"/>
    <w:rPr>
      <w:i/>
      <w:iCs/>
      <w:color w:val="2F5597" w:themeColor="accent1" w:themeShade="BF"/>
    </w:rPr>
  </w:style>
  <w:style w:type="paragraph" w:customStyle="1" w:styleId="53">
    <w:name w:val="明显引用1"/>
    <w:basedOn w:val="1"/>
    <w:next w:val="1"/>
    <w:link w:val="54"/>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54">
    <w:name w:val="明显引用 字符"/>
    <w:basedOn w:val="33"/>
    <w:link w:val="53"/>
    <w:qFormat/>
    <w:uiPriority w:val="30"/>
    <w:rPr>
      <w:rFonts w:ascii="Calibri" w:hAnsi="Calibri" w:eastAsia="仿宋_GB2312" w:cs="Times New Roman"/>
      <w:i/>
      <w:iCs/>
      <w:color w:val="2F5597" w:themeColor="accent1" w:themeShade="BF"/>
      <w:sz w:val="32"/>
      <w:szCs w:val="24"/>
    </w:rPr>
  </w:style>
  <w:style w:type="character" w:customStyle="1" w:styleId="55">
    <w:name w:val="明显参考1"/>
    <w:basedOn w:val="33"/>
    <w:qFormat/>
    <w:uiPriority w:val="32"/>
    <w:rPr>
      <w:b/>
      <w:bCs/>
      <w:smallCaps/>
      <w:color w:val="2F5597" w:themeColor="accent1" w:themeShade="BF"/>
      <w:spacing w:val="5"/>
    </w:rPr>
  </w:style>
  <w:style w:type="character" w:customStyle="1" w:styleId="56">
    <w:name w:val="批注框文本 字符"/>
    <w:basedOn w:val="33"/>
    <w:link w:val="18"/>
    <w:qFormat/>
    <w:uiPriority w:val="99"/>
    <w:rPr>
      <w:rFonts w:eastAsia="仿宋_GB2312"/>
      <w:sz w:val="18"/>
      <w:szCs w:val="18"/>
    </w:rPr>
  </w:style>
  <w:style w:type="character" w:customStyle="1" w:styleId="57">
    <w:name w:val="页脚 字符"/>
    <w:basedOn w:val="33"/>
    <w:link w:val="19"/>
    <w:qFormat/>
    <w:uiPriority w:val="99"/>
    <w:rPr>
      <w:rFonts w:eastAsia="仿宋_GB2312"/>
      <w:sz w:val="18"/>
      <w:szCs w:val="18"/>
    </w:rPr>
  </w:style>
  <w:style w:type="character" w:customStyle="1" w:styleId="58">
    <w:name w:val="页眉 字符"/>
    <w:basedOn w:val="33"/>
    <w:link w:val="20"/>
    <w:qFormat/>
    <w:uiPriority w:val="99"/>
    <w:rPr>
      <w:rFonts w:eastAsia="仿宋_GB2312"/>
      <w:sz w:val="18"/>
      <w:szCs w:val="18"/>
    </w:rPr>
  </w:style>
  <w:style w:type="character" w:customStyle="1" w:styleId="59">
    <w:name w:val="脚注文本 字符"/>
    <w:basedOn w:val="33"/>
    <w:link w:val="24"/>
    <w:qFormat/>
    <w:uiPriority w:val="0"/>
    <w:rPr>
      <w:rFonts w:eastAsia="仿宋_GB2312"/>
      <w:sz w:val="18"/>
      <w:szCs w:val="18"/>
    </w:rPr>
  </w:style>
  <w:style w:type="paragraph" w:customStyle="1" w:styleId="60">
    <w:name w:val="引用11"/>
    <w:basedOn w:val="1"/>
    <w:next w:val="1"/>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paragraph" w:customStyle="1" w:styleId="61">
    <w:name w:val="列表段落11"/>
    <w:basedOn w:val="1"/>
    <w:qFormat/>
    <w:uiPriority w:val="34"/>
    <w:pPr>
      <w:ind w:left="720"/>
      <w:contextualSpacing/>
    </w:pPr>
  </w:style>
  <w:style w:type="character" w:customStyle="1" w:styleId="62">
    <w:name w:val="明显强调11"/>
    <w:basedOn w:val="33"/>
    <w:qFormat/>
    <w:uiPriority w:val="21"/>
    <w:rPr>
      <w:i/>
      <w:iCs/>
      <w:color w:val="2F5597" w:themeColor="accent1" w:themeShade="BF"/>
    </w:rPr>
  </w:style>
  <w:style w:type="paragraph" w:customStyle="1" w:styleId="63">
    <w:name w:val="明显引用11"/>
    <w:basedOn w:val="1"/>
    <w:next w:val="1"/>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64">
    <w:name w:val="明显参考11"/>
    <w:basedOn w:val="33"/>
    <w:qFormat/>
    <w:uiPriority w:val="32"/>
    <w:rPr>
      <w:b/>
      <w:bCs/>
      <w:smallCaps/>
      <w:color w:val="2F5597" w:themeColor="accent1" w:themeShade="BF"/>
      <w:spacing w:val="5"/>
    </w:rPr>
  </w:style>
  <w:style w:type="paragraph" w:customStyle="1" w:styleId="65">
    <w:name w:val="TOC 标题1"/>
    <w:basedOn w:val="2"/>
    <w:next w:val="1"/>
    <w:unhideWhenUsed/>
    <w:qFormat/>
    <w:uiPriority w:val="39"/>
    <w:pPr>
      <w:widowControl/>
      <w:spacing w:before="240" w:line="259" w:lineRule="auto"/>
      <w:jc w:val="left"/>
      <w:outlineLvl w:val="9"/>
    </w:pPr>
    <w:rPr>
      <w:rFonts w:asciiTheme="majorHAnsi" w:hAnsiTheme="majorHAnsi" w:eastAsiaTheme="majorEastAsia" w:cstheme="majorBidi"/>
      <w:b w:val="0"/>
      <w:bCs w:val="0"/>
      <w:color w:val="2F5597" w:themeColor="accent1" w:themeShade="BF"/>
      <w:kern w:val="0"/>
      <w:szCs w:val="32"/>
    </w:rPr>
  </w:style>
  <w:style w:type="character" w:customStyle="1" w:styleId="66">
    <w:name w:val="未处理的提及1"/>
    <w:basedOn w:val="33"/>
    <w:unhideWhenUsed/>
    <w:qFormat/>
    <w:uiPriority w:val="99"/>
    <w:rPr>
      <w:color w:val="605E5C"/>
      <w:shd w:val="clear" w:color="auto" w:fill="E1DFDD"/>
    </w:rPr>
  </w:style>
  <w:style w:type="paragraph" w:customStyle="1" w:styleId="67">
    <w:name w:val="西安正文"/>
    <w:basedOn w:val="1"/>
    <w:qFormat/>
    <w:uiPriority w:val="0"/>
    <w:pPr>
      <w:spacing w:line="240" w:lineRule="auto"/>
      <w:ind w:firstLine="640"/>
    </w:pPr>
    <w:rPr>
      <w:rFonts w:ascii="仿宋_GB2312" w:hAnsi="宋体" w:cs="Times New Roman"/>
      <w:szCs w:val="32"/>
    </w:rPr>
  </w:style>
  <w:style w:type="paragraph" w:customStyle="1" w:styleId="68">
    <w:name w:val="修订1"/>
    <w:hidden/>
    <w:semiHidden/>
    <w:qFormat/>
    <w:uiPriority w:val="99"/>
    <w:pPr>
      <w:spacing w:after="160" w:line="278" w:lineRule="auto"/>
    </w:pPr>
    <w:rPr>
      <w:rFonts w:eastAsia="仿宋" w:asciiTheme="minorHAnsi" w:hAnsiTheme="minorHAnsi" w:cstheme="minorBidi"/>
      <w:kern w:val="2"/>
      <w:sz w:val="32"/>
      <w:szCs w:val="22"/>
      <w:lang w:val="en-US" w:eastAsia="zh-CN" w:bidi="ar-SA"/>
    </w:rPr>
  </w:style>
  <w:style w:type="character" w:customStyle="1" w:styleId="69">
    <w:name w:val="未处理的提及2"/>
    <w:basedOn w:val="33"/>
    <w:unhideWhenUsed/>
    <w:qFormat/>
    <w:uiPriority w:val="99"/>
    <w:rPr>
      <w:color w:val="605E5C"/>
      <w:shd w:val="clear" w:color="auto" w:fill="E1DFDD"/>
    </w:rPr>
  </w:style>
  <w:style w:type="character" w:customStyle="1" w:styleId="70">
    <w:name w:val="UserStyle_0"/>
    <w:semiHidden/>
    <w:qFormat/>
    <w:uiPriority w:val="0"/>
    <w:rPr>
      <w:rFonts w:ascii="Calibri" w:hAnsi="Calibri" w:eastAsia="宋体" w:cs="Times New Roman"/>
      <w:kern w:val="2"/>
      <w:sz w:val="21"/>
      <w:szCs w:val="24"/>
      <w:lang w:val="en-US" w:eastAsia="zh-CN" w:bidi="ar-SA"/>
    </w:rPr>
  </w:style>
  <w:style w:type="character" w:customStyle="1" w:styleId="71">
    <w:name w:val="未处理的提及3"/>
    <w:basedOn w:val="33"/>
    <w:unhideWhenUsed/>
    <w:qFormat/>
    <w:uiPriority w:val="99"/>
    <w:rPr>
      <w:color w:val="605E5C"/>
      <w:shd w:val="clear" w:color="auto" w:fill="E1DFDD"/>
    </w:rPr>
  </w:style>
  <w:style w:type="character" w:customStyle="1" w:styleId="72">
    <w:name w:val="未处理的提及4"/>
    <w:basedOn w:val="33"/>
    <w:unhideWhenUsed/>
    <w:qFormat/>
    <w:uiPriority w:val="99"/>
    <w:rPr>
      <w:color w:val="605E5C"/>
      <w:shd w:val="clear" w:color="auto" w:fill="E1DFDD"/>
    </w:rPr>
  </w:style>
  <w:style w:type="paragraph" w:customStyle="1" w:styleId="73">
    <w:name w:val="msonormal"/>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 w:val="24"/>
      <w:szCs w:val="24"/>
    </w:rPr>
  </w:style>
  <w:style w:type="paragraph" w:customStyle="1" w:styleId="74">
    <w:name w:val="font5"/>
    <w:basedOn w:val="1"/>
    <w:qFormat/>
    <w:uiPriority w:val="0"/>
    <w:pPr>
      <w:widowControl/>
      <w:spacing w:before="100" w:beforeAutospacing="1" w:after="100" w:afterAutospacing="1" w:line="240" w:lineRule="auto"/>
      <w:ind w:firstLine="0" w:firstLineChars="0"/>
      <w:jc w:val="left"/>
    </w:pPr>
    <w:rPr>
      <w:rFonts w:ascii="宋体" w:hAnsi="宋体" w:eastAsia="宋体" w:cs="宋体"/>
      <w:color w:val="000000"/>
      <w:kern w:val="0"/>
      <w:sz w:val="22"/>
    </w:rPr>
  </w:style>
  <w:style w:type="paragraph" w:customStyle="1" w:styleId="75">
    <w:name w:val="font6"/>
    <w:basedOn w:val="1"/>
    <w:qFormat/>
    <w:uiPriority w:val="0"/>
    <w:pPr>
      <w:widowControl/>
      <w:spacing w:before="100" w:beforeAutospacing="1" w:after="100" w:afterAutospacing="1" w:line="240" w:lineRule="auto"/>
      <w:ind w:firstLine="0" w:firstLineChars="0"/>
      <w:jc w:val="left"/>
    </w:pPr>
    <w:rPr>
      <w:rFonts w:ascii="Times New Roman" w:hAnsi="Times New Roman" w:eastAsia="宋体" w:cs="Times New Roman"/>
      <w:color w:val="000000"/>
      <w:kern w:val="0"/>
      <w:sz w:val="22"/>
    </w:rPr>
  </w:style>
  <w:style w:type="paragraph" w:customStyle="1" w:styleId="76">
    <w:name w:val="xl65"/>
    <w:basedOn w:val="1"/>
    <w:qFormat/>
    <w:uiPriority w:val="0"/>
    <w:pPr>
      <w:widowControl/>
      <w:spacing w:before="100" w:beforeAutospacing="1" w:after="100" w:afterAutospacing="1" w:line="240" w:lineRule="auto"/>
      <w:ind w:firstLine="0" w:firstLineChars="0"/>
      <w:jc w:val="center"/>
    </w:pPr>
    <w:rPr>
      <w:rFonts w:ascii="宋体" w:hAnsi="宋体" w:eastAsia="宋体" w:cs="宋体"/>
      <w:kern w:val="0"/>
      <w:sz w:val="24"/>
      <w:szCs w:val="24"/>
    </w:rPr>
  </w:style>
  <w:style w:type="paragraph" w:customStyle="1" w:styleId="77">
    <w:name w:val="xl66"/>
    <w:basedOn w:val="1"/>
    <w:qFormat/>
    <w:uiPriority w:val="0"/>
    <w:pPr>
      <w:widowControl/>
      <w:shd w:val="clear" w:color="000000" w:fill="FFFF00"/>
      <w:spacing w:before="100" w:beforeAutospacing="1" w:after="100" w:afterAutospacing="1" w:line="240" w:lineRule="auto"/>
      <w:ind w:firstLine="0" w:firstLineChars="0"/>
      <w:jc w:val="center"/>
    </w:pPr>
    <w:rPr>
      <w:rFonts w:ascii="宋体" w:hAnsi="宋体" w:eastAsia="宋体" w:cs="宋体"/>
      <w:kern w:val="0"/>
      <w:sz w:val="24"/>
      <w:szCs w:val="24"/>
    </w:rPr>
  </w:style>
  <w:style w:type="paragraph" w:customStyle="1" w:styleId="7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4"/>
      <w:szCs w:val="24"/>
    </w:rPr>
  </w:style>
  <w:style w:type="paragraph" w:customStyle="1" w:styleId="7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4"/>
      <w:szCs w:val="24"/>
    </w:rPr>
  </w:style>
  <w:style w:type="paragraph" w:customStyle="1" w:styleId="8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left"/>
    </w:pPr>
    <w:rPr>
      <w:rFonts w:ascii="宋体" w:hAnsi="宋体" w:eastAsia="宋体" w:cs="宋体"/>
      <w:color w:val="000000"/>
      <w:kern w:val="0"/>
      <w:sz w:val="24"/>
      <w:szCs w:val="24"/>
    </w:rPr>
  </w:style>
  <w:style w:type="paragraph" w:customStyle="1" w:styleId="81">
    <w:name w:val="xl7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4"/>
      <w:szCs w:val="24"/>
    </w:rPr>
  </w:style>
  <w:style w:type="paragraph" w:customStyle="1" w:styleId="8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left"/>
    </w:pPr>
    <w:rPr>
      <w:rFonts w:ascii="宋体" w:hAnsi="宋体" w:eastAsia="宋体" w:cs="宋体"/>
      <w:kern w:val="0"/>
      <w:sz w:val="24"/>
      <w:szCs w:val="24"/>
    </w:rPr>
  </w:style>
  <w:style w:type="paragraph" w:customStyle="1" w:styleId="8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4"/>
      <w:szCs w:val="24"/>
    </w:rPr>
  </w:style>
  <w:style w:type="paragraph" w:customStyle="1" w:styleId="84">
    <w:name w:val="xl73"/>
    <w:basedOn w:val="1"/>
    <w:qFormat/>
    <w:uiPriority w:val="0"/>
    <w:pPr>
      <w:widowControl/>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line="240" w:lineRule="auto"/>
      <w:ind w:firstLine="0" w:firstLineChars="0"/>
      <w:jc w:val="center"/>
    </w:pPr>
    <w:rPr>
      <w:rFonts w:ascii="宋体" w:hAnsi="宋体" w:eastAsia="宋体" w:cs="宋体"/>
      <w:color w:val="000000"/>
      <w:kern w:val="0"/>
      <w:sz w:val="24"/>
      <w:szCs w:val="24"/>
    </w:rPr>
  </w:style>
  <w:style w:type="paragraph" w:customStyle="1" w:styleId="85">
    <w:name w:val="font7"/>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 w:val="20"/>
      <w:szCs w:val="20"/>
    </w:rPr>
  </w:style>
  <w:style w:type="paragraph" w:customStyle="1" w:styleId="86">
    <w:name w:val="font8"/>
    <w:basedOn w:val="1"/>
    <w:qFormat/>
    <w:uiPriority w:val="0"/>
    <w:pPr>
      <w:widowControl/>
      <w:spacing w:before="100" w:beforeAutospacing="1" w:after="100" w:afterAutospacing="1" w:line="240" w:lineRule="auto"/>
      <w:ind w:firstLine="0" w:firstLineChars="0"/>
      <w:jc w:val="left"/>
    </w:pPr>
    <w:rPr>
      <w:rFonts w:ascii="Times New Roman" w:hAnsi="Times New Roman" w:eastAsia="宋体" w:cs="Times New Roman"/>
      <w:color w:val="000000"/>
      <w:kern w:val="0"/>
      <w:sz w:val="20"/>
      <w:szCs w:val="20"/>
    </w:rPr>
  </w:style>
  <w:style w:type="paragraph" w:customStyle="1" w:styleId="87">
    <w:name w:val="xl64"/>
    <w:basedOn w:val="1"/>
    <w:qFormat/>
    <w:uiPriority w:val="0"/>
    <w:pPr>
      <w:widowControl/>
      <w:shd w:val="clear" w:color="000000" w:fill="FFFF00"/>
      <w:spacing w:before="100" w:beforeAutospacing="1" w:after="100" w:afterAutospacing="1" w:line="240" w:lineRule="auto"/>
      <w:ind w:firstLine="0" w:firstLineChars="0"/>
      <w:jc w:val="center"/>
    </w:pPr>
    <w:rPr>
      <w:rFonts w:ascii="宋体" w:hAnsi="宋体" w:eastAsia="宋体" w:cs="宋体"/>
      <w:kern w:val="0"/>
      <w:sz w:val="24"/>
      <w:szCs w:val="24"/>
    </w:rPr>
  </w:style>
  <w:style w:type="paragraph" w:customStyle="1" w:styleId="88">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4"/>
      <w:szCs w:val="24"/>
    </w:rPr>
  </w:style>
  <w:style w:type="paragraph" w:customStyle="1" w:styleId="89">
    <w:name w:val="修订2"/>
    <w:hidden/>
    <w:unhideWhenUsed/>
    <w:qFormat/>
    <w:uiPriority w:val="99"/>
    <w:pPr>
      <w:spacing w:after="160" w:line="278" w:lineRule="auto"/>
    </w:pPr>
    <w:rPr>
      <w:rFonts w:eastAsia="仿宋_GB2312" w:asciiTheme="minorHAnsi" w:hAnsiTheme="minorHAnsi" w:cstheme="minorBidi"/>
      <w:kern w:val="2"/>
      <w:sz w:val="32"/>
      <w:szCs w:val="22"/>
      <w:lang w:val="en-US" w:eastAsia="zh-CN" w:bidi="ar-SA"/>
    </w:rPr>
  </w:style>
  <w:style w:type="paragraph" w:customStyle="1" w:styleId="90">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91">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0"/>
      <w:szCs w:val="20"/>
    </w:rPr>
  </w:style>
  <w:style w:type="paragraph" w:customStyle="1" w:styleId="92">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0"/>
      <w:szCs w:val="20"/>
    </w:rPr>
  </w:style>
  <w:style w:type="paragraph" w:customStyle="1" w:styleId="93">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94">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0"/>
      <w:szCs w:val="20"/>
    </w:rPr>
  </w:style>
  <w:style w:type="paragraph" w:customStyle="1" w:styleId="95">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96">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left"/>
    </w:pPr>
    <w:rPr>
      <w:rFonts w:ascii="宋体" w:hAnsi="宋体" w:eastAsia="宋体" w:cs="宋体"/>
      <w:kern w:val="0"/>
      <w:sz w:val="20"/>
      <w:szCs w:val="20"/>
    </w:rPr>
  </w:style>
  <w:style w:type="paragraph" w:customStyle="1" w:styleId="97">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4"/>
      <w:szCs w:val="24"/>
    </w:rPr>
  </w:style>
  <w:style w:type="paragraph" w:customStyle="1" w:styleId="98">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4"/>
      <w:szCs w:val="24"/>
    </w:rPr>
  </w:style>
  <w:style w:type="paragraph" w:customStyle="1" w:styleId="99">
    <w:name w:val="xl8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4"/>
      <w:szCs w:val="24"/>
    </w:rPr>
  </w:style>
  <w:style w:type="paragraph" w:customStyle="1" w:styleId="100">
    <w:name w:val="xl8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01">
    <w:name w:val="xl8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18"/>
      <w:szCs w:val="18"/>
    </w:rPr>
  </w:style>
  <w:style w:type="paragraph" w:customStyle="1" w:styleId="102">
    <w:name w:val="xl8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03">
    <w:name w:val="xl88"/>
    <w:basedOn w:val="1"/>
    <w:qFormat/>
    <w:uiPriority w:val="0"/>
    <w:pPr>
      <w:widowControl/>
      <w:pBdr>
        <w:top w:val="single" w:color="auto" w:sz="4" w:space="0"/>
        <w:left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04">
    <w:name w:val="xl89"/>
    <w:basedOn w:val="1"/>
    <w:qFormat/>
    <w:uiPriority w:val="0"/>
    <w:pPr>
      <w:widowControl/>
      <w:pBdr>
        <w:top w:val="single" w:color="auto" w:sz="4" w:space="0"/>
        <w:left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05">
    <w:name w:val="xl9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left"/>
    </w:pPr>
    <w:rPr>
      <w:rFonts w:ascii="宋体" w:hAnsi="宋体" w:eastAsia="宋体" w:cs="宋体"/>
      <w:color w:val="000000"/>
      <w:kern w:val="0"/>
      <w:sz w:val="20"/>
      <w:szCs w:val="20"/>
    </w:rPr>
  </w:style>
  <w:style w:type="paragraph" w:customStyle="1" w:styleId="106">
    <w:name w:val="xl9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07">
    <w:name w:val="xl9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left"/>
    </w:pPr>
    <w:rPr>
      <w:rFonts w:ascii="宋体" w:hAnsi="宋体" w:eastAsia="宋体" w:cs="宋体"/>
      <w:color w:val="000000"/>
      <w:kern w:val="0"/>
      <w:sz w:val="20"/>
      <w:szCs w:val="20"/>
    </w:rPr>
  </w:style>
  <w:style w:type="paragraph" w:customStyle="1" w:styleId="108">
    <w:name w:val="xl93"/>
    <w:basedOn w:val="1"/>
    <w:qFormat/>
    <w:uiPriority w:val="0"/>
    <w:pPr>
      <w:widowControl/>
      <w:pBdr>
        <w:top w:val="single" w:color="auto" w:sz="4" w:space="0"/>
        <w:left w:val="single" w:color="auto" w:sz="4" w:space="0"/>
        <w:bottom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0"/>
      <w:szCs w:val="20"/>
    </w:rPr>
  </w:style>
  <w:style w:type="paragraph" w:customStyle="1" w:styleId="109">
    <w:name w:val="xl94"/>
    <w:basedOn w:val="1"/>
    <w:qFormat/>
    <w:uiPriority w:val="0"/>
    <w:pPr>
      <w:widowControl/>
      <w:pBdr>
        <w:top w:val="single" w:color="auto" w:sz="4" w:space="0"/>
        <w:left w:val="single" w:color="auto" w:sz="4" w:space="0"/>
        <w:bottom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10">
    <w:name w:val="xl9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left"/>
    </w:pPr>
    <w:rPr>
      <w:rFonts w:ascii="宋体" w:hAnsi="宋体" w:eastAsia="宋体" w:cs="宋体"/>
      <w:kern w:val="0"/>
      <w:sz w:val="24"/>
      <w:szCs w:val="24"/>
    </w:rPr>
  </w:style>
  <w:style w:type="paragraph" w:customStyle="1" w:styleId="111">
    <w:name w:val="xl96"/>
    <w:basedOn w:val="1"/>
    <w:qFormat/>
    <w:uiPriority w:val="0"/>
    <w:pPr>
      <w:widowControl/>
      <w:pBdr>
        <w:top w:val="single" w:color="auto" w:sz="4" w:space="0"/>
        <w:left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0"/>
      <w:szCs w:val="20"/>
    </w:rPr>
  </w:style>
  <w:style w:type="paragraph" w:customStyle="1" w:styleId="112">
    <w:name w:val="xl9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0"/>
      <w:szCs w:val="20"/>
    </w:rPr>
  </w:style>
  <w:style w:type="paragraph" w:customStyle="1" w:styleId="113">
    <w:name w:val="xl98"/>
    <w:basedOn w:val="1"/>
    <w:qFormat/>
    <w:uiPriority w:val="0"/>
    <w:pPr>
      <w:widowControl/>
      <w:pBdr>
        <w:top w:val="single" w:color="000000" w:sz="4" w:space="0"/>
        <w:left w:val="single" w:color="000000" w:sz="4" w:space="0"/>
        <w:bottom w:val="single" w:color="000000" w:sz="4" w:space="0"/>
      </w:pBdr>
      <w:spacing w:before="100" w:beforeAutospacing="1" w:after="100" w:afterAutospacing="1" w:line="240" w:lineRule="auto"/>
      <w:ind w:firstLine="0" w:firstLineChars="0"/>
      <w:jc w:val="center"/>
    </w:pPr>
    <w:rPr>
      <w:rFonts w:ascii="宋体" w:hAnsi="宋体" w:eastAsia="宋体" w:cs="宋体"/>
      <w:color w:val="000000"/>
      <w:kern w:val="0"/>
      <w:sz w:val="20"/>
      <w:szCs w:val="20"/>
    </w:rPr>
  </w:style>
  <w:style w:type="paragraph" w:customStyle="1" w:styleId="114">
    <w:name w:val="xl99"/>
    <w:basedOn w:val="1"/>
    <w:qFormat/>
    <w:uiPriority w:val="0"/>
    <w:pPr>
      <w:widowControl/>
      <w:pBdr>
        <w:top w:val="single" w:color="000000" w:sz="4" w:space="0"/>
        <w:left w:val="single" w:color="000000" w:sz="4" w:space="0"/>
        <w:bottom w:val="single" w:color="000000"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15">
    <w:name w:val="xl100"/>
    <w:basedOn w:val="1"/>
    <w:qFormat/>
    <w:uiPriority w:val="0"/>
    <w:pPr>
      <w:widowControl/>
      <w:pBdr>
        <w:left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16">
    <w:name w:val="xl101"/>
    <w:basedOn w:val="1"/>
    <w:qFormat/>
    <w:uiPriority w:val="0"/>
    <w:pPr>
      <w:widowControl/>
      <w:pBdr>
        <w:top w:val="single" w:color="auto" w:sz="4" w:space="0"/>
        <w:left w:val="single" w:color="auto" w:sz="4" w:space="0"/>
        <w:bottom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17">
    <w:name w:val="xl10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18">
    <w:name w:val="xl103"/>
    <w:basedOn w:val="1"/>
    <w:qFormat/>
    <w:uiPriority w:val="0"/>
    <w:pPr>
      <w:widowControl/>
      <w:pBdr>
        <w:top w:val="single" w:color="auto" w:sz="4" w:space="0"/>
        <w:left w:val="single" w:color="auto" w:sz="4" w:space="0"/>
        <w:bottom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19">
    <w:name w:val="xl10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left"/>
    </w:pPr>
    <w:rPr>
      <w:rFonts w:ascii="宋体" w:hAnsi="宋体" w:eastAsia="宋体" w:cs="宋体"/>
      <w:kern w:val="0"/>
      <w:sz w:val="20"/>
      <w:szCs w:val="20"/>
    </w:rPr>
  </w:style>
  <w:style w:type="paragraph" w:customStyle="1" w:styleId="120">
    <w:name w:val="xl10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21">
    <w:name w:val="xl106"/>
    <w:basedOn w:val="1"/>
    <w:qFormat/>
    <w:uiPriority w:val="0"/>
    <w:pPr>
      <w:widowControl/>
      <w:pBdr>
        <w:top w:val="single" w:color="auto" w:sz="4" w:space="0"/>
        <w:left w:val="single" w:color="auto" w:sz="4" w:space="0"/>
        <w:bottom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22">
    <w:name w:val="xl10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0"/>
      <w:szCs w:val="20"/>
    </w:rPr>
  </w:style>
  <w:style w:type="paragraph" w:customStyle="1" w:styleId="123">
    <w:name w:val="xl108"/>
    <w:basedOn w:val="1"/>
    <w:qFormat/>
    <w:uiPriority w:val="0"/>
    <w:pPr>
      <w:widowControl/>
      <w:pBdr>
        <w:top w:val="single" w:color="auto" w:sz="4" w:space="0"/>
        <w:left w:val="single" w:color="auto" w:sz="4" w:space="0"/>
        <w:bottom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0"/>
      <w:szCs w:val="20"/>
    </w:rPr>
  </w:style>
  <w:style w:type="paragraph" w:customStyle="1" w:styleId="124">
    <w:name w:val="xl10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25">
    <w:name w:val="xl11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0"/>
      <w:szCs w:val="20"/>
    </w:rPr>
  </w:style>
  <w:style w:type="paragraph" w:customStyle="1" w:styleId="126">
    <w:name w:val="xl111"/>
    <w:basedOn w:val="1"/>
    <w:qFormat/>
    <w:uiPriority w:val="0"/>
    <w:pPr>
      <w:widowControl/>
      <w:pBdr>
        <w:top w:val="single" w:color="auto" w:sz="4" w:space="0"/>
        <w:left w:val="single" w:color="auto" w:sz="4" w:space="0"/>
        <w:bottom w:val="single" w:color="auto" w:sz="4" w:space="0"/>
      </w:pBdr>
      <w:spacing w:before="100" w:beforeAutospacing="1" w:after="100" w:afterAutospacing="1" w:line="240" w:lineRule="auto"/>
      <w:ind w:firstLine="0" w:firstLineChars="0"/>
      <w:jc w:val="center"/>
    </w:pPr>
    <w:rPr>
      <w:rFonts w:ascii="宋体" w:hAnsi="宋体" w:eastAsia="宋体" w:cs="宋体"/>
      <w:color w:val="000000"/>
      <w:kern w:val="0"/>
      <w:sz w:val="20"/>
      <w:szCs w:val="20"/>
    </w:rPr>
  </w:style>
  <w:style w:type="paragraph" w:customStyle="1" w:styleId="127">
    <w:name w:val="xl11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28">
    <w:name w:val="xl11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29">
    <w:name w:val="xl11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left"/>
    </w:pPr>
    <w:rPr>
      <w:rFonts w:ascii="宋体" w:hAnsi="宋体" w:eastAsia="宋体" w:cs="宋体"/>
      <w:kern w:val="0"/>
      <w:sz w:val="20"/>
      <w:szCs w:val="20"/>
    </w:rPr>
  </w:style>
  <w:style w:type="paragraph" w:customStyle="1" w:styleId="130">
    <w:name w:val="xl11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4"/>
      <w:szCs w:val="24"/>
    </w:rPr>
  </w:style>
  <w:style w:type="paragraph" w:customStyle="1" w:styleId="131">
    <w:name w:val="xl11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240" w:lineRule="auto"/>
      <w:ind w:firstLine="0" w:firstLineChars="0"/>
      <w:jc w:val="center"/>
    </w:pPr>
    <w:rPr>
      <w:rFonts w:ascii="宋体" w:hAnsi="宋体" w:eastAsia="宋体" w:cs="宋体"/>
      <w:kern w:val="0"/>
      <w:sz w:val="20"/>
      <w:szCs w:val="20"/>
    </w:rPr>
  </w:style>
  <w:style w:type="paragraph" w:customStyle="1" w:styleId="132">
    <w:name w:val="xl117"/>
    <w:basedOn w:val="1"/>
    <w:qFormat/>
    <w:uiPriority w:val="0"/>
    <w:pPr>
      <w:widowControl/>
      <w:spacing w:before="100" w:beforeAutospacing="1" w:after="100" w:afterAutospacing="1" w:line="240" w:lineRule="auto"/>
      <w:ind w:firstLine="0" w:firstLineChars="0"/>
      <w:jc w:val="center"/>
    </w:pPr>
    <w:rPr>
      <w:rFonts w:ascii="宋体" w:hAnsi="宋体" w:eastAsia="宋体" w:cs="宋体"/>
      <w:b/>
      <w:bCs/>
      <w:kern w:val="0"/>
      <w:szCs w:val="32"/>
    </w:rPr>
  </w:style>
  <w:style w:type="paragraph" w:customStyle="1" w:styleId="133">
    <w:name w:val="TOC 标题2"/>
    <w:basedOn w:val="2"/>
    <w:next w:val="1"/>
    <w:unhideWhenUsed/>
    <w:qFormat/>
    <w:uiPriority w:val="39"/>
    <w:pPr>
      <w:widowControl/>
      <w:spacing w:before="240" w:line="259" w:lineRule="auto"/>
      <w:ind w:firstLine="0" w:firstLineChars="0"/>
      <w:jc w:val="left"/>
      <w:outlineLvl w:val="9"/>
    </w:pPr>
    <w:rPr>
      <w:rFonts w:asciiTheme="majorHAnsi" w:hAnsiTheme="majorHAnsi" w:eastAsiaTheme="majorEastAsia" w:cstheme="majorBidi"/>
      <w:b w:val="0"/>
      <w:bCs w:val="0"/>
      <w:color w:val="2F5597" w:themeColor="accent1" w:themeShade="BF"/>
      <w:kern w:val="0"/>
      <w:szCs w:val="32"/>
    </w:rPr>
  </w:style>
  <w:style w:type="paragraph" w:customStyle="1" w:styleId="134">
    <w:name w:val="Body Text First Indent 21"/>
    <w:basedOn w:val="135"/>
    <w:qFormat/>
    <w:uiPriority w:val="0"/>
    <w:pPr>
      <w:spacing w:line="240" w:lineRule="auto"/>
      <w:ind w:left="420" w:leftChars="200" w:firstLine="420"/>
    </w:pPr>
    <w:rPr>
      <w:rFonts w:ascii="Times New Roman" w:hAnsi="Calibri" w:eastAsia="宋体" w:cs="Times New Roman"/>
      <w:sz w:val="21"/>
    </w:rPr>
  </w:style>
  <w:style w:type="paragraph" w:customStyle="1" w:styleId="135">
    <w:name w:val="Body Text Indent1"/>
    <w:basedOn w:val="1"/>
    <w:qFormat/>
    <w:uiPriority w:val="99"/>
    <w:pPr>
      <w:textAlignment w:val="baseline"/>
    </w:pPr>
    <w:rPr>
      <w:sz w:val="24"/>
      <w:szCs w:val="24"/>
    </w:rPr>
  </w:style>
  <w:style w:type="paragraph" w:customStyle="1" w:styleId="136">
    <w:name w:val="修订3"/>
    <w:hidden/>
    <w:unhideWhenUsed/>
    <w:qFormat/>
    <w:uiPriority w:val="99"/>
    <w:pPr>
      <w:spacing w:after="160" w:line="278" w:lineRule="auto"/>
    </w:pPr>
    <w:rPr>
      <w:rFonts w:eastAsia="仿宋_GB2312" w:asciiTheme="minorHAnsi" w:hAnsiTheme="minorHAnsi" w:cstheme="minorBidi"/>
      <w:kern w:val="2"/>
      <w:sz w:val="32"/>
      <w:szCs w:val="22"/>
      <w:lang w:val="en-US" w:eastAsia="zh-CN" w:bidi="ar-SA"/>
    </w:rPr>
  </w:style>
  <w:style w:type="paragraph" w:customStyle="1" w:styleId="137">
    <w:name w:val="列表段落2"/>
    <w:basedOn w:val="1"/>
    <w:unhideWhenUsed/>
    <w:qFormat/>
    <w:uiPriority w:val="99"/>
    <w:pPr>
      <w:ind w:firstLine="420"/>
    </w:pPr>
  </w:style>
  <w:style w:type="paragraph" w:customStyle="1" w:styleId="138">
    <w:name w:val="专栏内文字"/>
    <w:qFormat/>
    <w:uiPriority w:val="99"/>
    <w:pPr>
      <w:adjustRightInd w:val="0"/>
      <w:snapToGrid w:val="0"/>
      <w:spacing w:after="160" w:line="278" w:lineRule="auto"/>
      <w:ind w:firstLine="640" w:firstLineChars="200"/>
      <w:jc w:val="both"/>
      <w:textAlignment w:val="center"/>
    </w:pPr>
    <w:rPr>
      <w:rFonts w:ascii="宋体" w:hAnsi="宋体" w:eastAsia="宋体" w:cs="Times New Roman"/>
      <w:sz w:val="24"/>
      <w:lang w:val="en-US" w:eastAsia="zh-CN" w:bidi="ar-SA"/>
    </w:rPr>
  </w:style>
  <w:style w:type="character" w:customStyle="1" w:styleId="139">
    <w:name w:val="未处理的提及5"/>
    <w:basedOn w:val="33"/>
    <w:unhideWhenUsed/>
    <w:qFormat/>
    <w:uiPriority w:val="99"/>
    <w:rPr>
      <w:color w:val="605E5C"/>
      <w:shd w:val="clear" w:color="auto" w:fill="E1DFDD"/>
    </w:rPr>
  </w:style>
  <w:style w:type="paragraph" w:customStyle="1" w:styleId="140">
    <w:name w:val="专栏表头"/>
    <w:qFormat/>
    <w:uiPriority w:val="99"/>
    <w:pPr>
      <w:widowControl w:val="0"/>
      <w:adjustRightInd w:val="0"/>
      <w:snapToGrid w:val="0"/>
      <w:spacing w:line="560" w:lineRule="exact"/>
      <w:jc w:val="both"/>
      <w:textAlignment w:val="center"/>
    </w:pPr>
    <w:rPr>
      <w:rFonts w:ascii="Times New Roman" w:hAnsi="Times New Roman" w:eastAsia="宋体" w:cs="Times New Roman"/>
      <w:b/>
      <w:sz w:val="28"/>
      <w:lang w:val="en-US" w:eastAsia="zh-CN" w:bidi="ar-SA"/>
    </w:rPr>
  </w:style>
  <w:style w:type="paragraph" w:customStyle="1" w:styleId="141">
    <w:name w:val="表格内文字"/>
    <w:qFormat/>
    <w:uiPriority w:val="99"/>
    <w:pPr>
      <w:widowControl w:val="0"/>
      <w:adjustRightInd w:val="0"/>
      <w:snapToGrid w:val="0"/>
      <w:jc w:val="both"/>
      <w:textAlignment w:val="center"/>
    </w:pPr>
    <w:rPr>
      <w:rFonts w:ascii="宋体" w:hAnsi="宋体" w:eastAsia="宋体" w:cs="Times New Roman"/>
      <w:sz w:val="24"/>
      <w:szCs w:val="22"/>
      <w:lang w:val="en-US" w:eastAsia="zh-CN" w:bidi="ar-SA"/>
    </w:rPr>
  </w:style>
  <w:style w:type="character" w:customStyle="1" w:styleId="142">
    <w:name w:val="Unresolved Mention"/>
    <w:basedOn w:val="33"/>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Version="6" SelectedStyle="\APASixthEditionOfficeOnline.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B8669A5-023D-4D68-80CA-97A7792C7BB9}">
  <ds:schemaRefs/>
</ds:datastoreItem>
</file>

<file path=docProps/app.xml><?xml version="1.0" encoding="utf-8"?>
<Properties xmlns="http://schemas.openxmlformats.org/officeDocument/2006/extended-properties" xmlns:vt="http://schemas.openxmlformats.org/officeDocument/2006/docPropsVTypes">
  <Template>Normal.dotm</Template>
  <Pages>103</Pages>
  <Words>45856</Words>
  <Characters>46429</Characters>
  <Lines>431</Lines>
  <Paragraphs>121</Paragraphs>
  <TotalTime>98</TotalTime>
  <ScaleCrop>false</ScaleCrop>
  <LinksUpToDate>false</LinksUpToDate>
  <CharactersWithSpaces>46767</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2026-04-01T19:16:00Z</dcterms:created>
  <dc:creator>颖 牛</dc:creator>
  <cp:lastModifiedBy>Administrator</cp:lastModifiedBy>
  <cp:lastPrinted>2026-04-01T22:17:00Z</cp:lastPrinted>
  <dcterms:modified xsi:type="dcterms:W3CDTF">2026-07-16T07:31:02Z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eyJoZGlkIjoiMzRlNDRkN2M1NmNmZjk0ZGZhZDI0ZWMzNzFiYzUzZjgifQ==</vt:lpwstr>
  </property>
  <property fmtid="{D5CDD505-2E9C-101B-9397-08002B2CF9AE}" pid="4" name="ICV">
    <vt:lpwstr>69D8CB79A23E4F3EAD402F2788953172_13</vt:lpwstr>
  </property>
</Properties>
</file>