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pPr>
        <w:keepNext w:val="0"/>
        <w:keepLines w:val="0"/>
        <w:widowControl/>
        <w:suppressLineNumbers w:val="0"/>
        <w:jc w:val="center"/>
        <w:rPr>
          <w:rFonts w:hint="eastAsia" w:ascii="方正小标宋简体" w:hAnsi="方正小标宋简体" w:eastAsia="方正小标宋简体" w:cs="方正小标宋简体"/>
          <w:b w:val="0"/>
          <w:bCs w:val="0"/>
          <w:kern w:val="0"/>
          <w:sz w:val="44"/>
          <w:szCs w:val="44"/>
          <w:lang w:val="en-US" w:eastAsia="zh-CN" w:bidi="ar"/>
        </w:rPr>
      </w:pPr>
      <w:r>
        <w:rPr>
          <w:rFonts w:hint="eastAsia" w:ascii="方正小标宋简体" w:hAnsi="方正小标宋简体" w:eastAsia="方正小标宋简体" w:cs="方正小标宋简体"/>
          <w:b w:val="0"/>
          <w:bCs w:val="0"/>
          <w:kern w:val="0"/>
          <w:sz w:val="44"/>
          <w:szCs w:val="44"/>
          <w:lang w:val="en-US" w:eastAsia="zh-CN" w:bidi="ar"/>
        </w:rPr>
        <w:t>平山县文化广电体育和旅游局</w:t>
      </w:r>
    </w:p>
    <w:p>
      <w:pPr>
        <w:keepNext w:val="0"/>
        <w:keepLines w:val="0"/>
        <w:widowControl/>
        <w:suppressLineNumbers w:val="0"/>
        <w:jc w:val="center"/>
        <w:rPr>
          <w:rFonts w:hint="eastAsia" w:ascii="方正小标宋简体" w:hAnsi="方正小标宋简体" w:eastAsia="方正小标宋简体" w:cs="方正小标宋简体"/>
          <w:b w:val="0"/>
          <w:bCs w:val="0"/>
          <w:kern w:val="0"/>
          <w:sz w:val="44"/>
          <w:szCs w:val="44"/>
          <w:lang w:val="en-US" w:eastAsia="zh-CN" w:bidi="ar"/>
        </w:rPr>
      </w:pPr>
      <w:r>
        <w:rPr>
          <w:rFonts w:hint="eastAsia" w:ascii="方正小标宋简体" w:hAnsi="方正小标宋简体" w:eastAsia="方正小标宋简体" w:cs="方正小标宋简体"/>
          <w:b w:val="0"/>
          <w:bCs w:val="0"/>
          <w:kern w:val="0"/>
          <w:sz w:val="44"/>
          <w:szCs w:val="44"/>
          <w:lang w:val="en-US" w:eastAsia="zh-CN" w:bidi="ar"/>
        </w:rPr>
        <w:t>2024年法治政府建设工作总结</w:t>
      </w:r>
    </w:p>
    <w:p>
      <w:pPr>
        <w:keepNext w:val="0"/>
        <w:keepLines w:val="0"/>
        <w:widowControl/>
        <w:suppressLineNumbers w:val="0"/>
        <w:jc w:val="center"/>
        <w:rPr>
          <w:rFonts w:hint="eastAsia" w:ascii="仿宋" w:hAnsi="仿宋" w:eastAsia="仿宋" w:cs="仿宋"/>
          <w:kern w:val="0"/>
          <w:sz w:val="32"/>
          <w:szCs w:val="32"/>
          <w:lang w:val="en-US" w:eastAsia="zh-CN" w:bidi="ar"/>
        </w:rPr>
      </w:pP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    2024年，平山县文化广电体育和旅游局在县委、县政府的正确领导下，根据《平山县依法治县委员会2024年工作要点》要求，紧盯法治政府建设总目标，推进文化和旅游领域依法、科学、民主决策，完善政府依法行政机制，规范行政执法行为，全面提升行政机关工作人员特别是领导干部运用法治思维和法治方式处理问题的能力，现将2024年依法治县情况报告如下：</w:t>
      </w:r>
    </w:p>
    <w:p>
      <w:pPr>
        <w:keepNext w:val="0"/>
        <w:keepLines w:val="0"/>
        <w:widowControl/>
        <w:suppressLineNumbers w:val="0"/>
        <w:jc w:val="left"/>
        <w:rPr>
          <w:rFonts w:hint="eastAsia" w:ascii="黑体" w:hAnsi="黑体" w:eastAsia="黑体" w:cs="黑体"/>
          <w:sz w:val="32"/>
          <w:szCs w:val="32"/>
        </w:rPr>
      </w:pPr>
      <w:r>
        <w:rPr>
          <w:rFonts w:hint="eastAsia" w:ascii="黑体" w:hAnsi="黑体" w:eastAsia="黑体" w:cs="黑体"/>
          <w:kern w:val="0"/>
          <w:sz w:val="32"/>
          <w:szCs w:val="32"/>
          <w:lang w:val="en-US" w:eastAsia="zh-CN" w:bidi="ar"/>
        </w:rPr>
        <w:t>一、主要负责人严格执行法治建设第一责任人职责</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    局主要负责人齐正平坚持以习近平新时代中国特色社会主义思想为指导，深入学习习近平总书记全面依法治国新理念、新思想、新战略，运用法治思维和法治方式，深化文旅领域改革、推动发展、化解矛盾、维护稳定，组织局机关不断加强对文化旅游市场的监管，同时积极提高执法人员的执法能力和办案水平，确保依法治县工作落实到位。</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    （一）成立以局党组书记为组长、党组成员为副组长，各科室负责人为成员的法治建设工作领导小组。及时学习传达习近平总书记全面依法治国的新理念、新思想、新战略和二十届三中全会精神，使文旅干部群众思想上、政治上同上级保持同步。</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    （二）聘请退休法官魏显堂、杨来来为法律顾问，充分发挥法官在重大行政决策、制度建设、合同审查、执法监管等事项工作中的积极作用，参与矛盾纠纷调解4起，有效提升文旅系统依法尽责能力，有效提高文旅行业法律风险管控水平。</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    （三）局主要负责人带队到执法一线，履行“一岗双责”要求，切实排查群众关心、社会关注的与群众利益息息相关的突出问题，动真碰硬，督促问题整改到位。2024年文旅行业未发生一起安全生产事故。</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    （四）确保经费落实到位。每年将法治经费列入年度财</w:t>
      </w:r>
      <w:bookmarkStart w:id="0" w:name="_GoBack"/>
      <w:bookmarkEnd w:id="0"/>
      <w:r>
        <w:rPr>
          <w:rFonts w:hint="eastAsia" w:ascii="仿宋" w:hAnsi="仿宋" w:eastAsia="仿宋" w:cs="仿宋"/>
          <w:kern w:val="0"/>
          <w:sz w:val="32"/>
          <w:szCs w:val="32"/>
          <w:lang w:val="en-US" w:eastAsia="zh-CN" w:bidi="ar"/>
        </w:rPr>
        <w:t>政预算，确保文旅行业执法和法治建设经费的落实。</w:t>
      </w:r>
    </w:p>
    <w:p>
      <w:pPr>
        <w:keepNext w:val="0"/>
        <w:keepLines w:val="0"/>
        <w:widowControl/>
        <w:suppressLineNumbers w:val="0"/>
        <w:jc w:val="left"/>
        <w:rPr>
          <w:rFonts w:hint="eastAsia" w:ascii="黑体" w:hAnsi="黑体" w:eastAsia="黑体" w:cs="黑体"/>
          <w:sz w:val="32"/>
          <w:szCs w:val="32"/>
        </w:rPr>
      </w:pPr>
      <w:r>
        <w:rPr>
          <w:rFonts w:hint="eastAsia" w:ascii="黑体" w:hAnsi="黑体" w:eastAsia="黑体" w:cs="黑体"/>
          <w:kern w:val="0"/>
          <w:sz w:val="32"/>
          <w:szCs w:val="32"/>
          <w:lang w:val="en-US" w:eastAsia="zh-CN" w:bidi="ar"/>
        </w:rPr>
        <w:t>二、行政执法严格规范、公正、文明，持续优化平山县文旅行业营商环境</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    （一）全面推进行政执法“三项制度”工作。结合文旅市场监管实际，进一步完善了文广体旅行政执法公示办法、行政执法全过程记录办法、重大行政执法决定法制审核办法，修订制作执法流程图，明确执法程序、时限。并在执法活动期间严格贯执行听证集体讨论、合法性审查、过错责任追究等相关的监管机制制度。重大行政决策方面，平山县文化广电体育和旅游局推动《平山县旅游景区（项目）规划建设管理办法》的修订、论证、出台，对规范平山县旅游市场秩序提供了政策依据，维护我县文旅市场的营商环境。</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    （二）健全行政执法人员管理制度。加强行政执法流程，全面落实行政执法责任制。进一步规范文化市场行政执法程序。严格要求执法人员执行2人以上执法规定，在执法过程中主动出示执法证件，着装规范，文明执法，树立文旅执法形象。</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    （三）积极开展案件评查活动。规范执法文书使用和归档，确立了错案倒查问责机制。严格执行重大行政处罚案件、集体讨论制度和法制审核。今年，县司法局开展案卷评查2次，市司法局组织各县交叉评查1次。对照评查结果，认识差距和不足，做到举一反三，在以后的办案中杜绝错误的发生，对执法人员办案能力和办案水平起到了鞭策的效果。</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    （四）12345政务服务便民热线办理工作。截至10月31日，平山县文旅市场共接受处理热线投诉450例，热线增长率60%，这反映了游客对12345便民服务热线的认可和肯定。在处理名远游泳馆闭馆因消费者要求退费的案件中，文旅局同城关派出所联合调查调解，最终使120名消费者诉求得到圆满解决。在解决2023年名远游泳馆遗留问题时，我局组织了法律顾问对反映人群体进行了普法宣传，引导诉求人通过司法途径解决问题，问题的解决途径走向了法律的轨道。</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  （五）贯彻罚缴分离制度。所有行政处罚涉及罚款内容的，被处罚对象到指定银行交纳罚款，严格做到行政处罚的行政机关与收交机构分离。2024年办理行政处罚案件1起，处罚金额2000元。</w:t>
      </w:r>
    </w:p>
    <w:p>
      <w:pPr>
        <w:keepNext w:val="0"/>
        <w:keepLines w:val="0"/>
        <w:widowControl/>
        <w:suppressLineNumbers w:val="0"/>
        <w:jc w:val="left"/>
        <w:rPr>
          <w:rFonts w:hint="eastAsia" w:ascii="黑体" w:hAnsi="黑体" w:eastAsia="黑体" w:cs="黑体"/>
          <w:sz w:val="32"/>
          <w:szCs w:val="32"/>
        </w:rPr>
      </w:pPr>
      <w:r>
        <w:rPr>
          <w:rFonts w:hint="eastAsia" w:ascii="黑体" w:hAnsi="黑体" w:eastAsia="黑体" w:cs="黑体"/>
          <w:kern w:val="0"/>
          <w:sz w:val="32"/>
          <w:szCs w:val="32"/>
          <w:lang w:val="en-US" w:eastAsia="zh-CN" w:bidi="ar"/>
        </w:rPr>
        <w:t>三、加强事中事后监管</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   （一）全面推行“双随机、一公开”。通过“双随机、一公开”监管平台，随机产生执法人员、抽查对象，严格按照“三项制度”要求，开展执法检查。将抽查情况和抽查结果及时归集到“双随机、一公开”监管平台，接受社会监管。2024年在“双随机、一公开”监管平台共开展部门联合行动3次，涉及娱乐场所、出版物、旅游等市场领域，部门抽查文化和旅游经营单位12家。</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    （二）加强文化市场信用体系建设。建立健全文化市场信用红黑名单制度，制定并下发文旅市场红黑名单管理办法，与文旅市场企业负责人签订《文化市场诚信守法经营承诺书》50份。</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    （三）坚持政府信息公开制度。2024年公示行政案件1件。依据《失信行为纠正后的信用信息修复管理办法》，撤消了2023年公示的6起警告类行政处罚信息，并向企查查平台发了证明函，恢复企业信用信息，维护我县文化市场营商环境。</w:t>
      </w:r>
    </w:p>
    <w:p>
      <w:pPr>
        <w:keepNext w:val="0"/>
        <w:keepLines w:val="0"/>
        <w:widowControl/>
        <w:suppressLineNumbers w:val="0"/>
        <w:jc w:val="left"/>
        <w:rPr>
          <w:rFonts w:hint="eastAsia" w:ascii="黑体" w:hAnsi="黑体" w:eastAsia="黑体" w:cs="黑体"/>
          <w:sz w:val="32"/>
          <w:szCs w:val="32"/>
        </w:rPr>
      </w:pPr>
      <w:r>
        <w:rPr>
          <w:rFonts w:hint="eastAsia" w:ascii="黑体" w:hAnsi="黑体" w:eastAsia="黑体" w:cs="黑体"/>
          <w:kern w:val="0"/>
          <w:sz w:val="32"/>
          <w:szCs w:val="32"/>
          <w:lang w:val="en-US" w:eastAsia="zh-CN" w:bidi="ar"/>
        </w:rPr>
        <w:t>四、加强法治宣传教育</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    （一）以案释法开展面对面普法宣传，开展生动有效的普法实践活动。以群众需求为导向，积极回应群众关切。面向管理服务对象，开展法治宣传、安全生产和市场管理培训等活动，按照市场监管对象类别，分别召开了网吧、娱乐场所、旅游等领域的培训会2次，通过现身说法，广泛开展宣传群众关心的热点难点问题。</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    （二）按照“谁执法谁普法”原则开展普法工作。文旅局积极组织开展3·15消费者权益日、3·18文化市场法制宣传日、4·26知识产权宣传日、12·4宪法宣传日等一系列法制宣传教育活动。为弘扬法制精神，提高商家法律意识，文化市场综合行政执法大队走进企业向监管对象普及宪法和文化市场相关法律法规知识。共现场宣讲6场次，制作法治宣传展板（栏）10块、宣传资料2000余份、标语8条，普及了法律知识、宣传了诚信经商，增强了广大群众的法律意识，使营商环境更加和谐，政民关系更为融洽。</w:t>
      </w:r>
    </w:p>
    <w:p>
      <w:pPr>
        <w:keepNext w:val="0"/>
        <w:keepLines w:val="0"/>
        <w:widowControl/>
        <w:suppressLineNumbers w:val="0"/>
        <w:jc w:val="left"/>
        <w:rPr>
          <w:rFonts w:hint="eastAsia" w:ascii="黑体" w:hAnsi="黑体" w:eastAsia="黑体" w:cs="黑体"/>
          <w:b/>
          <w:bCs/>
          <w:sz w:val="32"/>
          <w:szCs w:val="32"/>
        </w:rPr>
      </w:pPr>
      <w:r>
        <w:rPr>
          <w:rFonts w:hint="eastAsia" w:ascii="黑体" w:hAnsi="黑体" w:eastAsia="黑体" w:cs="黑体"/>
          <w:b/>
          <w:bCs/>
          <w:kern w:val="0"/>
          <w:sz w:val="32"/>
          <w:szCs w:val="32"/>
          <w:lang w:val="en-US" w:eastAsia="zh-CN" w:bidi="ar"/>
        </w:rPr>
        <w:t>五、2025年工作思路及要点</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    （一）加强学习，提升案件办理水平。以推进说理式执法文书为抓手，注重法律文书制作的规范性和严肃性，认真落实自由裁量权和减免情形，继续规范案件审批、办理流程；通过“请进来指导、走出去学习”的方式，开展全员培训，提升网络文化市场办案能力；同时召开文化市场重点行业法制宣传培训专题会议，传达法制宣传工作最新要求，进一步规范文化市场经营秩序。</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    （二）走进文旅企业，履行“谁执法，谁普法”职责。将普法工作与日常执法相结合，将法制宣传与执法办案相结合，把法制宣传渗透到执法办案全过程，通过文明执法促进深度普法，通过广泛普法，做到文明执法，加强对行业经营者、从业人员等行业法规普法宣传，增强守法经营意识。</w:t>
      </w:r>
    </w:p>
    <w:p>
      <w:pPr>
        <w:keepNext w:val="0"/>
        <w:keepLines w:val="0"/>
        <w:widowControl/>
        <w:suppressLineNumbers w:val="0"/>
        <w:jc w:val="left"/>
        <w:rPr>
          <w:rFonts w:hint="eastAsia" w:ascii="仿宋" w:hAnsi="仿宋" w:eastAsia="仿宋" w:cs="仿宋"/>
          <w:kern w:val="0"/>
          <w:sz w:val="32"/>
          <w:szCs w:val="32"/>
          <w:lang w:val="en-US" w:eastAsia="zh-CN" w:bidi="ar"/>
        </w:rPr>
      </w:pPr>
    </w:p>
    <w:p>
      <w:pPr>
        <w:keepNext w:val="0"/>
        <w:keepLines w:val="0"/>
        <w:widowControl/>
        <w:suppressLineNumbers w:val="0"/>
        <w:jc w:val="left"/>
        <w:rPr>
          <w:rFonts w:hint="eastAsia" w:ascii="仿宋" w:hAnsi="仿宋" w:eastAsia="仿宋" w:cs="仿宋"/>
          <w:kern w:val="0"/>
          <w:sz w:val="32"/>
          <w:szCs w:val="32"/>
          <w:lang w:val="en-US" w:eastAsia="zh-CN" w:bidi="ar"/>
        </w:rPr>
      </w:pPr>
    </w:p>
    <w:p>
      <w:pPr>
        <w:keepNext w:val="0"/>
        <w:keepLines w:val="0"/>
        <w:widowControl/>
        <w:suppressLineNumbers w:val="0"/>
        <w:jc w:val="left"/>
        <w:rPr>
          <w:rFonts w:hint="eastAsia" w:ascii="仿宋" w:hAnsi="仿宋" w:eastAsia="仿宋" w:cs="仿宋"/>
          <w:kern w:val="0"/>
          <w:sz w:val="32"/>
          <w:szCs w:val="32"/>
          <w:lang w:val="en-US" w:eastAsia="zh-CN" w:bidi="ar"/>
        </w:rPr>
      </w:pPr>
    </w:p>
    <w:p>
      <w:pPr>
        <w:keepNext w:val="0"/>
        <w:keepLines w:val="0"/>
        <w:widowControl/>
        <w:suppressLineNumbers w:val="0"/>
        <w:jc w:val="left"/>
        <w:rPr>
          <w:rFonts w:hint="eastAsia" w:ascii="仿宋" w:hAnsi="仿宋" w:eastAsia="仿宋" w:cs="仿宋"/>
          <w:kern w:val="0"/>
          <w:sz w:val="32"/>
          <w:szCs w:val="32"/>
          <w:lang w:val="en-US" w:eastAsia="zh-CN" w:bidi="ar"/>
        </w:rPr>
      </w:pPr>
    </w:p>
    <w:p>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 xml:space="preserve">                  平山县文化广电体育和旅游局</w:t>
      </w:r>
    </w:p>
    <w:p>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 xml:space="preserve">                       2025年2月24日</w:t>
      </w:r>
    </w:p>
    <w:p>
      <w:pPr>
        <w:pStyle w:val="2"/>
        <w:keepNext w:val="0"/>
        <w:keepLines w:val="0"/>
        <w:widowControl/>
        <w:suppressLineNumbers w:val="0"/>
        <w:ind w:left="0" w:firstLine="3840"/>
        <w:jc w:val="both"/>
        <w:rPr>
          <w:rFonts w:hint="eastAsia" w:ascii="仿宋" w:hAnsi="仿宋" w:eastAsia="仿宋" w:cs="仿宋"/>
          <w:sz w:val="32"/>
          <w:szCs w:val="32"/>
        </w:rPr>
      </w:pPr>
    </w:p>
    <w:p>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modern"/>
    <w:pitch w:val="default"/>
    <w:sig w:usb0="E00002FF" w:usb1="400004FF" w:usb2="00000000" w:usb3="00000000" w:csb0="2000019F" w:csb1="00000000"/>
  </w:font>
  <w:font w:name="Calibri">
    <w:panose1 w:val="020F0502020204030204"/>
    <w:charset w:val="00"/>
    <w:family w:val="decorative"/>
    <w:pitch w:val="default"/>
    <w:sig w:usb0="E00002FF" w:usb1="4000ACFF" w:usb2="00000001" w:usb3="00000000" w:csb0="2000019F" w:csb1="00000000"/>
  </w:font>
  <w:font w:name="Arial">
    <w:panose1 w:val="020B0604020202020204"/>
    <w:charset w:val="01"/>
    <w:family w:val="decorative"/>
    <w:pitch w:val="default"/>
    <w:sig w:usb0="E0002AFF" w:usb1="C0007843" w:usb2="00000009" w:usb3="00000000" w:csb0="400001FF" w:csb1="FFFF0000"/>
  </w:font>
  <w:font w:name="Courier New">
    <w:panose1 w:val="02070309020205020404"/>
    <w:charset w:val="01"/>
    <w:family w:val="swiss"/>
    <w:pitch w:val="default"/>
    <w:sig w:usb0="E0002AFF" w:usb1="C0007843" w:usb2="00000009" w:usb3="00000000" w:csb0="400001FF" w:csb1="FFFF0000"/>
  </w:font>
  <w:font w:name="Symbol">
    <w:panose1 w:val="05050102010706020507"/>
    <w:charset w:val="02"/>
    <w:family w:val="modern"/>
    <w:pitch w:val="default"/>
    <w:sig w:usb0="00000000" w:usb1="00000000" w:usb2="00000000" w:usb3="00000000" w:csb0="80000000" w:csb1="00000000"/>
  </w:font>
  <w:font w:name="Cambria">
    <w:panose1 w:val="02040503050406030204"/>
    <w:charset w:val="00"/>
    <w:family w:val="swiss"/>
    <w:pitch w:val="default"/>
    <w:sig w:usb0="E00002FF" w:usb1="400004FF" w:usb2="00000000" w:usb3="00000000" w:csb0="2000019F" w:csb1="00000000"/>
  </w:font>
  <w:font w:name="Calibri">
    <w:panose1 w:val="020F0502020204030204"/>
    <w:charset w:val="00"/>
    <w:family w:val="roman"/>
    <w:pitch w:val="default"/>
    <w:sig w:usb0="E00002FF" w:usb1="4000ACFF" w:usb2="00000001" w:usb3="00000000" w:csb0="2000019F" w:csb1="00000000"/>
  </w:font>
  <w:font w:name="Arial">
    <w:panose1 w:val="020B0604020202020204"/>
    <w:charset w:val="01"/>
    <w:family w:val="roman"/>
    <w:pitch w:val="default"/>
    <w:sig w:usb0="E0002AFF" w:usb1="C0007843" w:usb2="00000009" w:usb3="00000000" w:csb0="400001FF" w:csb1="FFFF0000"/>
  </w:font>
  <w:font w:name="Courier New">
    <w:panose1 w:val="02070309020205020404"/>
    <w:charset w:val="01"/>
    <w:family w:val="decorative"/>
    <w:pitch w:val="default"/>
    <w:sig w:usb0="E0002AFF" w:usb1="C0007843" w:usb2="00000009" w:usb3="00000000" w:csb0="400001FF" w:csb1="FFFF0000"/>
  </w:font>
  <w:font w:name="Symbol">
    <w:panose1 w:val="05050102010706020507"/>
    <w:charset w:val="02"/>
    <w:family w:val="swiss"/>
    <w:pitch w:val="default"/>
    <w:sig w:usb0="00000000" w:usb1="00000000" w:usb2="00000000" w:usb3="00000000" w:csb0="80000000" w:csb1="00000000"/>
  </w:font>
  <w:font w:name="Cambria">
    <w:panose1 w:val="02040503050406030204"/>
    <w:charset w:val="00"/>
    <w:family w:val="decorative"/>
    <w:pitch w:val="default"/>
    <w:sig w:usb0="E00002FF" w:usb1="400004FF" w:usb2="00000000" w:usb3="00000000" w:csb0="2000019F" w:csb1="00000000"/>
  </w:font>
  <w:font w:name="Calibri">
    <w:panose1 w:val="020F0502020204030204"/>
    <w:charset w:val="00"/>
    <w:family w:val="modern"/>
    <w:pitch w:val="default"/>
    <w:sig w:usb0="E00002FF" w:usb1="4000ACFF" w:usb2="00000001" w:usb3="00000000" w:csb0="2000019F" w:csb1="00000000"/>
  </w:font>
  <w:font w:name="Arial">
    <w:panose1 w:val="020B0604020202020204"/>
    <w:charset w:val="01"/>
    <w:family w:val="modern"/>
    <w:pitch w:val="default"/>
    <w:sig w:usb0="E0002AFF" w:usb1="C0007843" w:usb2="00000009" w:usb3="00000000" w:csb0="400001FF" w:csb1="FFFF0000"/>
  </w:font>
  <w:font w:name="Courier New">
    <w:panose1 w:val="02070309020205020404"/>
    <w:charset w:val="01"/>
    <w:family w:val="roman"/>
    <w:pitch w:val="default"/>
    <w:sig w:usb0="E0002AFF" w:usb1="C0007843" w:usb2="00000009" w:usb3="00000000" w:csb0="400001FF" w:csb1="FFFF0000"/>
  </w:font>
  <w:font w:name="Symbol">
    <w:panose1 w:val="05050102010706020507"/>
    <w:charset w:val="02"/>
    <w:family w:val="decorative"/>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AFF" w:usb1="C0007843" w:usb2="00000009" w:usb3="00000000" w:csb0="400001FF" w:csb1="FFFF0000"/>
  </w:font>
  <w:font w:name="仿宋">
    <w:panose1 w:val="02010609060101010101"/>
    <w:charset w:val="86"/>
    <w:family w:val="auto"/>
    <w:pitch w:val="default"/>
    <w:sig w:usb0="800002BF" w:usb1="38CF7CFA" w:usb2="00000016" w:usb3="00000000" w:csb0="00040001" w:csb1="00000000"/>
  </w:font>
  <w:font w:name="方正舒体">
    <w:panose1 w:val="02010601030101010101"/>
    <w:charset w:val="86"/>
    <w:family w:val="auto"/>
    <w:pitch w:val="default"/>
    <w:sig w:usb0="00000003"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黑体">
    <w:panose1 w:val="02010609060101010101"/>
    <w:charset w:val="86"/>
    <w:family w:val="auto"/>
    <w:pitch w:val="default"/>
    <w:sig w:usb0="800002BF" w:usb1="38CF7CFA" w:usb2="00000016" w:usb3="00000000" w:csb0="00040001" w:csb1="00000000"/>
  </w:font>
  <w:font w:name="华文行楷">
    <w:panose1 w:val="02010800040101010101"/>
    <w:charset w:val="86"/>
    <w:family w:val="auto"/>
    <w:pitch w:val="default"/>
    <w:sig w:usb0="00000001" w:usb1="080F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华文琥珀">
    <w:panose1 w:val="02010800040101010101"/>
    <w:charset w:val="86"/>
    <w:family w:val="auto"/>
    <w:pitch w:val="default"/>
    <w:sig w:usb0="00000001" w:usb1="080F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华文新魏">
    <w:panose1 w:val="02010800040101010101"/>
    <w:charset w:val="86"/>
    <w:family w:val="auto"/>
    <w:pitch w:val="default"/>
    <w:sig w:usb0="00000001" w:usb1="080F0000" w:usb2="00000000" w:usb3="00000000" w:csb0="00040000" w:csb1="00000000"/>
  </w:font>
  <w:font w:name="华文彩云">
    <w:panose1 w:val="02010800040101010101"/>
    <w:charset w:val="86"/>
    <w:family w:val="auto"/>
    <w:pitch w:val="default"/>
    <w:sig w:usb0="00000001" w:usb1="080F0000" w:usb2="00000000" w:usb3="00000000" w:csb0="00040000" w:csb1="00000000"/>
  </w:font>
  <w:font w:name="华文宋体">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华文中宋">
    <w:panose1 w:val="02010600040101010101"/>
    <w:charset w:val="86"/>
    <w:family w:val="auto"/>
    <w:pitch w:val="default"/>
    <w:sig w:usb0="00000287" w:usb1="080F0000" w:usb2="00000000" w:usb3="00000000" w:csb0="0004009F" w:csb1="DFD70000"/>
  </w:font>
  <w:font w:name="Calibri Light">
    <w:panose1 w:val="020F0302020204030204"/>
    <w:charset w:val="00"/>
    <w:family w:val="auto"/>
    <w:pitch w:val="default"/>
    <w:sig w:usb0="A00002EF" w:usb1="4000207B" w:usb2="00000000" w:usb3="00000000" w:csb0="2000019F" w:csb1="00000000"/>
  </w:font>
  <w:font w:name="新宋体">
    <w:panose1 w:val="02010609030101010101"/>
    <w:charset w:val="86"/>
    <w:family w:val="auto"/>
    <w:pitch w:val="default"/>
    <w:sig w:usb0="00000003" w:usb1="288F0000" w:usb2="00000006" w:usb3="00000000" w:csb0="00040001" w:csb1="00000000"/>
  </w:font>
  <w:font w:name="微软雅黑">
    <w:panose1 w:val="020B0503020204020204"/>
    <w:charset w:val="86"/>
    <w:family w:val="auto"/>
    <w:pitch w:val="default"/>
    <w:sig w:usb0="80000287" w:usb1="280F3C52" w:usb2="00000016" w:usb3="00000000" w:csb0="0004001F" w:csb1="00000000"/>
  </w:font>
  <w:font w:name="幼圆">
    <w:panose1 w:val="02010509060101010101"/>
    <w:charset w:val="86"/>
    <w:family w:val="auto"/>
    <w:pitch w:val="default"/>
    <w:sig w:usb0="00000001" w:usb1="080E0000" w:usb2="00000000" w:usb3="00000000" w:csb0="00040000" w:csb1="00000000"/>
  </w:font>
  <w:font w:name="华文隶书">
    <w:panose1 w:val="02010800040101010101"/>
    <w:charset w:val="86"/>
    <w:family w:val="auto"/>
    <w:pitch w:val="default"/>
    <w:sig w:usb0="00000001" w:usb1="080F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BreakWrappedTables/>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E92564"/>
    <w:rsid w:val="2D2505D5"/>
    <w:rsid w:val="363D2887"/>
    <w:rsid w:val="39AB12AA"/>
    <w:rsid w:val="5C6A3A2D"/>
    <w:rsid w:val="5C9B0824"/>
    <w:rsid w:val="5FDF4359"/>
    <w:rsid w:val="724A7F99"/>
    <w:rsid w:val="7C770F8A"/>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Office_10.8.0.5391_F1E327BC-269C-435d-A152-05C5408002CA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2025-02-25T02:24:00Z</dcterms:created>
  <dc:creator>Administrator</dc:creator>
  <cp:lastModifiedBy>Administrator</cp:lastModifiedBy>
  <dcterms:modified xsi:type="dcterms:W3CDTF">2025-02-25T07:59:01Z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2052-10.8.0.5391</vt:lpwstr>
  </property>
</Properties>
</file>