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0" w:firstLineChars="0"/>
        <w:jc w:val="both"/>
        <w:textAlignment w:val="auto"/>
        <w:outlineLvl w:val="9"/>
        <w:rPr>
          <w:rFonts w:hint="default" w:ascii="黑体" w:hAnsi="黑体" w:eastAsia="黑体" w:cs="Times New Roman"/>
          <w:b w:val="0"/>
          <w:bCs/>
          <w:sz w:val="32"/>
          <w:szCs w:val="44"/>
          <w:highlight w:val="none"/>
          <w:lang w:val="en-US" w:eastAsia="zh-CN"/>
        </w:rPr>
      </w:pPr>
      <w:bookmarkStart w:id="74" w:name="_GoBack"/>
      <w:bookmarkEnd w:id="74"/>
    </w:p>
    <w:p>
      <w:pPr>
        <w:spacing w:line="360" w:lineRule="auto"/>
        <w:jc w:val="center"/>
        <w:rPr>
          <w:rFonts w:hint="eastAsia" w:eastAsia="方正小标宋简体" w:cs="Times New Roman"/>
          <w:color w:val="000000"/>
          <w:kern w:val="44"/>
          <w:sz w:val="44"/>
          <w:szCs w:val="22"/>
          <w:highlight w:val="none"/>
          <w:lang w:val="en-US" w:eastAsia="zh-CN" w:bidi="ar-SA"/>
        </w:rPr>
      </w:pPr>
      <w:bookmarkStart w:id="0" w:name="_Toc1877"/>
      <w:bookmarkStart w:id="1" w:name="_Toc12704"/>
      <w:bookmarkStart w:id="2" w:name="_Toc24287"/>
      <w:bookmarkStart w:id="3" w:name="_Toc1952"/>
      <w:bookmarkStart w:id="4" w:name="_Toc11707"/>
      <w:bookmarkStart w:id="5" w:name="_Toc3238"/>
      <w:bookmarkStart w:id="6" w:name="_Toc27750"/>
      <w:r>
        <w:rPr>
          <w:rFonts w:hint="eastAsia" w:eastAsia="方正小标宋简体" w:cs="Times New Roman"/>
          <w:color w:val="000000"/>
          <w:kern w:val="44"/>
          <w:sz w:val="44"/>
          <w:szCs w:val="22"/>
          <w:highlight w:val="none"/>
          <w:lang w:val="en-US" w:eastAsia="zh-CN" w:bidi="ar-SA"/>
        </w:rPr>
        <w:t>平山县</w:t>
      </w:r>
      <w:r>
        <w:rPr>
          <w:rFonts w:hint="eastAsia" w:ascii="Times New Roman" w:hAnsi="Times New Roman" w:eastAsia="方正小标宋简体" w:cs="Times New Roman"/>
          <w:color w:val="000000"/>
          <w:kern w:val="44"/>
          <w:sz w:val="44"/>
          <w:szCs w:val="22"/>
          <w:highlight w:val="none"/>
          <w:lang w:val="en-US" w:eastAsia="zh-CN" w:bidi="ar-SA"/>
        </w:rPr>
        <w:t>202</w:t>
      </w:r>
      <w:r>
        <w:rPr>
          <w:rFonts w:hint="eastAsia" w:eastAsia="方正小标宋简体" w:cs="Times New Roman"/>
          <w:color w:val="000000"/>
          <w:kern w:val="44"/>
          <w:sz w:val="44"/>
          <w:szCs w:val="22"/>
          <w:highlight w:val="none"/>
          <w:lang w:val="en-US" w:eastAsia="zh-CN" w:bidi="ar-SA"/>
        </w:rPr>
        <w:t>6年</w:t>
      </w:r>
      <w:bookmarkEnd w:id="0"/>
      <w:bookmarkEnd w:id="1"/>
      <w:bookmarkEnd w:id="2"/>
      <w:bookmarkEnd w:id="3"/>
      <w:bookmarkEnd w:id="4"/>
      <w:bookmarkEnd w:id="5"/>
      <w:bookmarkEnd w:id="6"/>
      <w:r>
        <w:rPr>
          <w:rFonts w:hint="eastAsia" w:eastAsia="方正小标宋简体" w:cs="Times New Roman"/>
          <w:color w:val="000000"/>
          <w:kern w:val="44"/>
          <w:sz w:val="44"/>
          <w:szCs w:val="22"/>
          <w:highlight w:val="none"/>
          <w:lang w:val="en-US" w:eastAsia="zh-CN" w:bidi="ar-SA"/>
        </w:rPr>
        <w:t>省级农村新能源开发利用</w:t>
      </w:r>
    </w:p>
    <w:p>
      <w:pPr>
        <w:spacing w:line="360" w:lineRule="auto"/>
        <w:jc w:val="center"/>
        <w:rPr>
          <w:rFonts w:hint="eastAsia" w:eastAsia="方正小标宋简体" w:cs="Times New Roman"/>
          <w:color w:val="000000"/>
          <w:kern w:val="44"/>
          <w:sz w:val="44"/>
          <w:szCs w:val="22"/>
          <w:highlight w:val="none"/>
          <w:lang w:val="en-US" w:eastAsia="zh-CN" w:bidi="ar-SA"/>
        </w:rPr>
      </w:pPr>
      <w:r>
        <w:rPr>
          <w:rFonts w:hint="eastAsia" w:eastAsia="方正小标宋简体" w:cs="Times New Roman"/>
          <w:color w:val="000000"/>
          <w:kern w:val="44"/>
          <w:sz w:val="44"/>
          <w:szCs w:val="22"/>
          <w:highlight w:val="none"/>
          <w:lang w:val="en-US" w:eastAsia="zh-CN" w:bidi="ar-SA"/>
        </w:rPr>
        <w:t>（清洁用能多元利用）项目</w:t>
      </w:r>
    </w:p>
    <w:p>
      <w:pPr>
        <w:spacing w:line="360" w:lineRule="auto"/>
        <w:jc w:val="center"/>
        <w:rPr>
          <w:rFonts w:hint="eastAsia" w:ascii="Times New Roman" w:hAnsi="Times New Roman" w:eastAsia="方正小标宋简体" w:cs="Times New Roman"/>
          <w:color w:val="000000"/>
          <w:kern w:val="44"/>
          <w:sz w:val="44"/>
          <w:szCs w:val="22"/>
          <w:highlight w:val="none"/>
          <w:lang w:val="en-US" w:eastAsia="zh-CN" w:bidi="ar-SA"/>
        </w:rPr>
      </w:pPr>
      <w:r>
        <w:rPr>
          <w:rFonts w:hint="eastAsia" w:eastAsia="方正小标宋简体" w:cs="Times New Roman"/>
          <w:color w:val="000000"/>
          <w:kern w:val="44"/>
          <w:sz w:val="44"/>
          <w:szCs w:val="22"/>
          <w:highlight w:val="none"/>
          <w:lang w:val="en-US" w:eastAsia="zh-CN" w:bidi="ar-SA"/>
        </w:rPr>
        <w:t>太阳能+空气源热泵供暖</w:t>
      </w:r>
      <w:r>
        <w:rPr>
          <w:rFonts w:hint="eastAsia" w:ascii="Times New Roman" w:hAnsi="Times New Roman" w:eastAsia="方正小标宋简体" w:cs="Times New Roman"/>
          <w:color w:val="000000"/>
          <w:kern w:val="44"/>
          <w:sz w:val="44"/>
          <w:szCs w:val="22"/>
          <w:highlight w:val="none"/>
          <w:lang w:val="en-US" w:eastAsia="zh-CN" w:bidi="ar-SA"/>
        </w:rPr>
        <w:t>实施方案</w:t>
      </w:r>
    </w:p>
    <w:p>
      <w:pPr>
        <w:spacing w:line="360" w:lineRule="auto"/>
        <w:ind w:firstLine="1800" w:firstLineChars="600"/>
        <w:rPr>
          <w:rFonts w:eastAsia="黑体"/>
          <w:color w:val="000000"/>
          <w:sz w:val="30"/>
          <w:szCs w:val="30"/>
          <w:highlight w:val="none"/>
        </w:rPr>
      </w:pPr>
    </w:p>
    <w:p>
      <w:pPr>
        <w:spacing w:line="360" w:lineRule="auto"/>
        <w:ind w:firstLine="1800" w:firstLineChars="600"/>
        <w:rPr>
          <w:rFonts w:eastAsia="黑体"/>
          <w:color w:val="000000"/>
          <w:sz w:val="30"/>
          <w:szCs w:val="30"/>
          <w:highlight w:val="none"/>
        </w:rPr>
      </w:pPr>
    </w:p>
    <w:p>
      <w:pPr>
        <w:spacing w:line="360" w:lineRule="auto"/>
        <w:ind w:firstLine="1800" w:firstLineChars="600"/>
        <w:rPr>
          <w:rFonts w:eastAsia="黑体"/>
          <w:color w:val="000000"/>
          <w:sz w:val="30"/>
          <w:szCs w:val="30"/>
          <w:highlight w:val="none"/>
        </w:rPr>
      </w:pPr>
    </w:p>
    <w:p>
      <w:pPr>
        <w:spacing w:line="360" w:lineRule="auto"/>
        <w:ind w:firstLine="1800" w:firstLineChars="600"/>
        <w:rPr>
          <w:rFonts w:eastAsia="黑体"/>
          <w:color w:val="000000"/>
          <w:sz w:val="30"/>
          <w:szCs w:val="30"/>
          <w:highlight w:val="none"/>
        </w:rPr>
      </w:pPr>
    </w:p>
    <w:p>
      <w:pPr>
        <w:spacing w:line="360" w:lineRule="auto"/>
        <w:ind w:firstLine="1800" w:firstLineChars="600"/>
        <w:rPr>
          <w:rFonts w:eastAsia="黑体"/>
          <w:color w:val="000000"/>
          <w:sz w:val="30"/>
          <w:szCs w:val="30"/>
          <w:highlight w:val="none"/>
        </w:rPr>
      </w:pPr>
    </w:p>
    <w:p>
      <w:pPr>
        <w:tabs>
          <w:tab w:val="left" w:pos="2268"/>
        </w:tabs>
        <w:spacing w:line="360" w:lineRule="auto"/>
        <w:ind w:firstLine="600" w:firstLineChars="200"/>
        <w:rPr>
          <w:sz w:val="30"/>
          <w:szCs w:val="30"/>
          <w:highlight w:val="none"/>
        </w:rPr>
      </w:pPr>
    </w:p>
    <w:p>
      <w:pPr>
        <w:tabs>
          <w:tab w:val="left" w:pos="1260"/>
        </w:tabs>
        <w:spacing w:line="600" w:lineRule="exact"/>
        <w:ind w:firstLine="1257" w:firstLineChars="393"/>
        <w:rPr>
          <w:rFonts w:hint="eastAsia" w:ascii="仿宋" w:hAnsi="仿宋" w:eastAsia="仿宋" w:cs="仿宋"/>
          <w:color w:val="000000"/>
          <w:kern w:val="2"/>
          <w:sz w:val="32"/>
          <w:szCs w:val="32"/>
          <w:highlight w:val="none"/>
          <w:lang w:val="en-US" w:eastAsia="zh-CN" w:bidi="ar-SA"/>
        </w:rPr>
      </w:pPr>
      <w:r>
        <w:rPr>
          <w:rFonts w:hint="eastAsia" w:ascii="仿宋" w:hAnsi="仿宋" w:eastAsia="仿宋" w:cs="仿宋"/>
          <w:color w:val="000000"/>
          <w:kern w:val="2"/>
          <w:sz w:val="32"/>
          <w:szCs w:val="32"/>
          <w:highlight w:val="none"/>
          <w:lang w:val="en-US" w:eastAsia="zh-CN" w:bidi="ar-SA"/>
        </w:rPr>
        <w:t>项目单位：河北汉邦农业开发有限公司</w:t>
      </w:r>
    </w:p>
    <w:p>
      <w:pPr>
        <w:tabs>
          <w:tab w:val="left" w:pos="1260"/>
        </w:tabs>
        <w:spacing w:line="600" w:lineRule="exact"/>
        <w:ind w:firstLine="1257" w:firstLineChars="393"/>
        <w:rPr>
          <w:rFonts w:hint="eastAsia" w:ascii="仿宋" w:hAnsi="仿宋" w:eastAsia="仿宋" w:cs="仿宋"/>
          <w:color w:val="000000"/>
          <w:kern w:val="2"/>
          <w:sz w:val="32"/>
          <w:szCs w:val="32"/>
          <w:highlight w:val="none"/>
          <w:lang w:val="en-US" w:eastAsia="zh-CN" w:bidi="ar-SA"/>
        </w:rPr>
      </w:pPr>
      <w:r>
        <w:rPr>
          <w:rFonts w:hint="eastAsia" w:ascii="仿宋" w:hAnsi="仿宋" w:eastAsia="仿宋" w:cs="仿宋"/>
          <w:color w:val="000000"/>
          <w:kern w:val="2"/>
          <w:sz w:val="32"/>
          <w:szCs w:val="32"/>
          <w:highlight w:val="none"/>
          <w:lang w:val="en-US" w:eastAsia="zh-CN" w:bidi="ar-SA"/>
        </w:rPr>
        <w:t>通讯地址：平山县北冶乡唐家会村</w:t>
      </w:r>
    </w:p>
    <w:p>
      <w:pPr>
        <w:tabs>
          <w:tab w:val="left" w:pos="1260"/>
        </w:tabs>
        <w:spacing w:line="600" w:lineRule="exact"/>
        <w:ind w:firstLine="1257" w:firstLineChars="393"/>
        <w:rPr>
          <w:rFonts w:hint="eastAsia" w:ascii="仿宋" w:hAnsi="仿宋" w:eastAsia="仿宋" w:cs="仿宋"/>
          <w:color w:val="000000"/>
          <w:kern w:val="2"/>
          <w:sz w:val="32"/>
          <w:szCs w:val="32"/>
          <w:highlight w:val="none"/>
          <w:lang w:val="en-US" w:eastAsia="zh-CN" w:bidi="ar-SA"/>
        </w:rPr>
      </w:pPr>
      <w:r>
        <w:rPr>
          <w:rFonts w:hint="eastAsia" w:ascii="仿宋" w:hAnsi="仿宋" w:eastAsia="仿宋" w:cs="仿宋"/>
          <w:color w:val="000000"/>
          <w:kern w:val="2"/>
          <w:sz w:val="32"/>
          <w:szCs w:val="32"/>
          <w:highlight w:val="none"/>
          <w:lang w:val="en-US" w:eastAsia="zh-CN" w:bidi="ar-SA"/>
        </w:rPr>
        <w:t>邮政编码：050400</w:t>
      </w:r>
    </w:p>
    <w:p>
      <w:pPr>
        <w:tabs>
          <w:tab w:val="left" w:pos="1260"/>
        </w:tabs>
        <w:spacing w:line="600" w:lineRule="exact"/>
        <w:ind w:firstLine="1257" w:firstLineChars="393"/>
        <w:rPr>
          <w:rFonts w:hint="eastAsia" w:ascii="仿宋" w:hAnsi="仿宋" w:eastAsia="仿宋" w:cs="仿宋"/>
          <w:color w:val="000000"/>
          <w:kern w:val="2"/>
          <w:sz w:val="32"/>
          <w:szCs w:val="32"/>
          <w:highlight w:val="none"/>
          <w:lang w:val="en-US" w:eastAsia="zh-CN" w:bidi="ar-SA"/>
        </w:rPr>
      </w:pPr>
      <w:r>
        <w:rPr>
          <w:rFonts w:hint="eastAsia" w:ascii="仿宋" w:hAnsi="仿宋" w:eastAsia="仿宋" w:cs="仿宋"/>
          <w:color w:val="000000"/>
          <w:kern w:val="2"/>
          <w:sz w:val="32"/>
          <w:szCs w:val="32"/>
          <w:highlight w:val="none"/>
          <w:lang w:val="en-US" w:eastAsia="zh-CN" w:bidi="ar-SA"/>
        </w:rPr>
        <w:t>主管部门（单位）：平山县新能源服务中心</w:t>
      </w:r>
    </w:p>
    <w:p>
      <w:pPr>
        <w:tabs>
          <w:tab w:val="left" w:pos="1260"/>
        </w:tabs>
        <w:spacing w:line="600" w:lineRule="exact"/>
        <w:ind w:firstLine="1257" w:firstLineChars="393"/>
        <w:rPr>
          <w:rFonts w:hint="eastAsia" w:ascii="仿宋" w:hAnsi="仿宋" w:eastAsia="仿宋" w:cs="仿宋"/>
          <w:color w:val="000000"/>
          <w:kern w:val="2"/>
          <w:sz w:val="32"/>
          <w:szCs w:val="32"/>
          <w:highlight w:val="none"/>
          <w:lang w:val="en-US" w:eastAsia="zh-CN" w:bidi="ar-SA"/>
        </w:rPr>
      </w:pPr>
      <w:r>
        <w:rPr>
          <w:rFonts w:hint="eastAsia" w:ascii="仿宋" w:hAnsi="仿宋" w:eastAsia="仿宋" w:cs="仿宋"/>
          <w:color w:val="000000"/>
          <w:kern w:val="2"/>
          <w:sz w:val="32"/>
          <w:szCs w:val="32"/>
          <w:highlight w:val="none"/>
          <w:lang w:val="en-US" w:eastAsia="zh-CN" w:bidi="ar-SA"/>
        </w:rPr>
        <w:t>联 系 人：康素炜</w:t>
      </w:r>
    </w:p>
    <w:p>
      <w:pPr>
        <w:tabs>
          <w:tab w:val="left" w:pos="1260"/>
        </w:tabs>
        <w:spacing w:line="600" w:lineRule="exact"/>
        <w:ind w:firstLine="1257" w:firstLineChars="393"/>
        <w:rPr>
          <w:rFonts w:hint="eastAsia" w:ascii="仿宋" w:hAnsi="仿宋" w:eastAsia="仿宋" w:cs="仿宋"/>
          <w:color w:val="000000"/>
          <w:kern w:val="2"/>
          <w:sz w:val="32"/>
          <w:szCs w:val="32"/>
          <w:highlight w:val="none"/>
          <w:lang w:val="en-US" w:eastAsia="zh-CN" w:bidi="ar-SA"/>
        </w:rPr>
      </w:pPr>
      <w:r>
        <w:rPr>
          <w:rFonts w:hint="eastAsia" w:ascii="仿宋" w:hAnsi="仿宋" w:eastAsia="仿宋" w:cs="仿宋"/>
          <w:color w:val="000000"/>
          <w:kern w:val="2"/>
          <w:sz w:val="32"/>
          <w:szCs w:val="32"/>
          <w:highlight w:val="none"/>
          <w:lang w:val="en-US" w:eastAsia="zh-CN" w:bidi="ar-SA"/>
        </w:rPr>
        <w:t>联系电话：18033885777</w:t>
      </w:r>
    </w:p>
    <w:p>
      <w:pPr>
        <w:tabs>
          <w:tab w:val="left" w:pos="1260"/>
        </w:tabs>
        <w:spacing w:line="600" w:lineRule="exact"/>
        <w:ind w:firstLine="1257" w:firstLineChars="393"/>
        <w:rPr>
          <w:rFonts w:hint="eastAsia" w:ascii="仿宋" w:hAnsi="仿宋" w:eastAsia="仿宋" w:cs="仿宋"/>
          <w:color w:val="000000"/>
          <w:kern w:val="2"/>
          <w:sz w:val="32"/>
          <w:szCs w:val="32"/>
          <w:highlight w:val="none"/>
          <w:lang w:val="en-US" w:eastAsia="zh-CN" w:bidi="ar-SA"/>
        </w:rPr>
      </w:pPr>
      <w:r>
        <w:rPr>
          <w:rFonts w:hint="eastAsia" w:ascii="仿宋" w:hAnsi="仿宋" w:eastAsia="仿宋" w:cs="仿宋"/>
          <w:color w:val="000000"/>
          <w:kern w:val="2"/>
          <w:sz w:val="32"/>
          <w:szCs w:val="32"/>
          <w:highlight w:val="none"/>
          <w:lang w:val="en-US" w:eastAsia="zh-CN" w:bidi="ar-SA"/>
        </w:rPr>
        <w:t>编制单位：河北汉邦农业开发有限公司</w:t>
      </w:r>
    </w:p>
    <w:p>
      <w:pPr>
        <w:tabs>
          <w:tab w:val="left" w:pos="1260"/>
        </w:tabs>
        <w:spacing w:line="600" w:lineRule="exact"/>
        <w:ind w:firstLine="1257" w:firstLineChars="393"/>
        <w:rPr>
          <w:rFonts w:hint="eastAsia" w:ascii="仿宋" w:hAnsi="仿宋" w:eastAsia="仿宋" w:cs="仿宋"/>
          <w:color w:val="000000"/>
          <w:kern w:val="2"/>
          <w:sz w:val="32"/>
          <w:szCs w:val="32"/>
          <w:highlight w:val="none"/>
          <w:lang w:val="en-US" w:eastAsia="zh-CN" w:bidi="ar-SA"/>
        </w:rPr>
      </w:pPr>
      <w:r>
        <w:rPr>
          <w:rFonts w:hint="eastAsia" w:ascii="仿宋" w:hAnsi="仿宋" w:eastAsia="仿宋" w:cs="仿宋"/>
          <w:color w:val="000000"/>
          <w:kern w:val="2"/>
          <w:sz w:val="32"/>
          <w:szCs w:val="32"/>
          <w:highlight w:val="none"/>
          <w:lang w:val="en-US" w:eastAsia="zh-CN" w:bidi="ar-SA"/>
        </w:rPr>
        <w:t>填制日期：2026年3月22日</w:t>
      </w:r>
    </w:p>
    <w:p>
      <w:pPr>
        <w:tabs>
          <w:tab w:val="left" w:pos="1260"/>
        </w:tabs>
        <w:spacing w:line="600" w:lineRule="exact"/>
        <w:rPr>
          <w:rFonts w:hint="eastAsia" w:ascii="仿宋" w:hAnsi="仿宋" w:eastAsia="仿宋" w:cs="仿宋"/>
          <w:color w:val="000000"/>
          <w:kern w:val="2"/>
          <w:sz w:val="32"/>
          <w:szCs w:val="32"/>
          <w:highlight w:val="none"/>
          <w:lang w:val="en-US" w:eastAsia="zh-CN" w:bidi="ar-SA"/>
        </w:rPr>
      </w:pPr>
    </w:p>
    <w:p>
      <w:pPr>
        <w:tabs>
          <w:tab w:val="left" w:pos="1260"/>
        </w:tabs>
        <w:spacing w:line="600" w:lineRule="exact"/>
        <w:ind w:firstLine="1179" w:firstLineChars="393"/>
        <w:rPr>
          <w:rFonts w:hint="eastAsia" w:ascii="方正仿宋_GB2312" w:hAnsi="方正仿宋_GB2312" w:eastAsia="方正仿宋_GB2312" w:cs="方正仿宋_GB2312"/>
          <w:color w:val="000000"/>
          <w:kern w:val="2"/>
          <w:sz w:val="30"/>
          <w:szCs w:val="30"/>
          <w:highlight w:val="none"/>
          <w:lang w:val="en-US" w:eastAsia="zh-CN" w:bidi="ar-SA"/>
        </w:rPr>
      </w:pPr>
    </w:p>
    <w:p>
      <w:pPr>
        <w:rPr>
          <w:rFonts w:hint="eastAsia" w:ascii="方正仿宋_GB2312" w:hAnsi="方正仿宋_GB2312" w:eastAsia="方正仿宋_GB2312" w:cs="方正仿宋_GB2312"/>
          <w:sz w:val="30"/>
          <w:szCs w:val="30"/>
          <w:lang w:val="en-US" w:eastAsia="zh-CN"/>
        </w:rPr>
      </w:pPr>
    </w:p>
    <w:sdt>
      <w:sdtPr>
        <w:rPr>
          <w:rFonts w:hint="eastAsia" w:ascii="方正小标宋简体" w:hAnsi="方正小标宋简体" w:eastAsia="方正小标宋简体" w:cs="方正小标宋简体"/>
          <w:kern w:val="2"/>
          <w:sz w:val="30"/>
          <w:szCs w:val="30"/>
          <w:lang w:val="en-US" w:eastAsia="zh-CN" w:bidi="ar-SA"/>
        </w:rPr>
        <w:id w:val="147465742"/>
        <w15:color w:val="DBDBDB"/>
        <w:docPartObj>
          <w:docPartGallery w:val="Table of Contents"/>
          <w:docPartUnique/>
        </w:docPartObj>
      </w:sdtPr>
      <w:sdtEndPr>
        <w:rPr>
          <w:rFonts w:hint="eastAsia" w:ascii="宋体" w:hAnsi="宋体" w:eastAsia="宋体" w:cs="Times New Roman"/>
          <w:b/>
          <w:kern w:val="2"/>
          <w:sz w:val="24"/>
          <w:szCs w:val="24"/>
          <w:lang w:val="en-US" w:eastAsia="zh-CN" w:bidi="ar-SA"/>
        </w:rPr>
      </w:sdtEndPr>
      <w:sdtContent>
        <w:p>
          <w:pPr>
            <w:keepNext w:val="0"/>
            <w:keepLines w:val="0"/>
            <w:pageBreakBefore w:val="0"/>
            <w:widowControl w:val="0"/>
            <w:kinsoku/>
            <w:wordWrap/>
            <w:overflowPunct/>
            <w:topLinePunct w:val="0"/>
            <w:autoSpaceDE/>
            <w:autoSpaceDN/>
            <w:bidi w:val="0"/>
            <w:adjustRightInd/>
            <w:snapToGrid/>
            <w:spacing w:before="0" w:beforeLines="0" w:after="0" w:afterLines="0" w:line="300" w:lineRule="exact"/>
            <w:ind w:left="0" w:leftChars="0" w:right="0" w:rightChars="0" w:firstLine="0" w:firstLineChars="0"/>
            <w:jc w:val="center"/>
            <w:textAlignment w:val="auto"/>
            <w:rPr>
              <w:rFonts w:hint="eastAsia" w:ascii="方正仿宋_GB2312" w:hAnsi="方正仿宋_GB2312" w:eastAsia="方正仿宋_GB2312" w:cs="方正仿宋_GB2312"/>
              <w:kern w:val="2"/>
              <w:sz w:val="30"/>
              <w:szCs w:val="30"/>
              <w:lang w:val="en-US" w:eastAsia="zh-CN" w:bidi="ar-SA"/>
            </w:rPr>
          </w:pPr>
          <w:r>
            <w:rPr>
              <w:rFonts w:hint="eastAsia" w:ascii="方正小标宋简体" w:hAnsi="方正小标宋简体" w:eastAsia="方正小标宋简体" w:cs="方正小标宋简体"/>
              <w:sz w:val="30"/>
              <w:szCs w:val="30"/>
            </w:rPr>
            <w:t>目</w:t>
          </w:r>
          <w:r>
            <w:rPr>
              <w:rFonts w:hint="eastAsia" w:ascii="方正小标宋简体" w:hAnsi="方正小标宋简体" w:eastAsia="方正小标宋简体" w:cs="方正小标宋简体"/>
              <w:sz w:val="30"/>
              <w:szCs w:val="30"/>
              <w:lang w:val="en-US" w:eastAsia="zh-CN"/>
            </w:rPr>
            <w:t xml:space="preserve">  </w:t>
          </w:r>
          <w:r>
            <w:rPr>
              <w:rFonts w:hint="eastAsia" w:ascii="方正小标宋简体" w:hAnsi="方正小标宋简体" w:eastAsia="方正小标宋简体" w:cs="方正小标宋简体"/>
              <w:sz w:val="30"/>
              <w:szCs w:val="30"/>
            </w:rPr>
            <w:t>录</w:t>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TOC \o "1-2" \h \u </w:instrText>
          </w:r>
          <w:r>
            <w:rPr>
              <w:rFonts w:hint="eastAsia" w:ascii="方正仿宋_GB2312" w:hAnsi="方正仿宋_GB2312" w:eastAsia="方正仿宋_GB2312" w:cs="方正仿宋_GB2312"/>
              <w:sz w:val="30"/>
              <w:szCs w:val="30"/>
            </w:rPr>
            <w:fldChar w:fldCharType="separate"/>
          </w:r>
        </w:p>
        <w:p>
          <w:pPr>
            <w:pStyle w:val="8"/>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_Toc11688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一、</w:t>
          </w:r>
          <w:r>
            <w:rPr>
              <w:rFonts w:hint="eastAsia" w:ascii="方正仿宋_GB2312" w:hAnsi="方正仿宋_GB2312" w:eastAsia="方正仿宋_GB2312" w:cs="方正仿宋_GB2312"/>
              <w:sz w:val="30"/>
              <w:szCs w:val="30"/>
              <w:lang w:eastAsia="zh-CN"/>
            </w:rPr>
            <w:t>实施方案编制的背景、指导思想和基本原则</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_Toc11688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4</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_Toc24038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（一）背景</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_Toc24038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4</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_Toc23210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（二）</w:t>
          </w:r>
          <w:r>
            <w:rPr>
              <w:rFonts w:hint="eastAsia" w:ascii="方正仿宋_GB2312" w:hAnsi="方正仿宋_GB2312" w:eastAsia="方正仿宋_GB2312" w:cs="方正仿宋_GB2312"/>
              <w:sz w:val="30"/>
              <w:szCs w:val="30"/>
            </w:rPr>
            <w:t>指导思想</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_Toc23210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6</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_Toc15958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（三）</w:t>
          </w:r>
          <w:r>
            <w:rPr>
              <w:rFonts w:hint="eastAsia" w:ascii="方正仿宋_GB2312" w:hAnsi="方正仿宋_GB2312" w:eastAsia="方正仿宋_GB2312" w:cs="方正仿宋_GB2312"/>
              <w:sz w:val="30"/>
              <w:szCs w:val="30"/>
            </w:rPr>
            <w:t>基本原则</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_Toc15958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6</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8"/>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_Toc15901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二</w:t>
          </w:r>
          <w:r>
            <w:rPr>
              <w:rFonts w:hint="eastAsia" w:ascii="方正仿宋_GB2312" w:hAnsi="方正仿宋_GB2312" w:eastAsia="方正仿宋_GB2312" w:cs="方正仿宋_GB2312"/>
              <w:sz w:val="30"/>
              <w:szCs w:val="30"/>
            </w:rPr>
            <w:t>、</w:t>
          </w:r>
          <w:r>
            <w:rPr>
              <w:rFonts w:hint="eastAsia" w:ascii="方正仿宋_GB2312" w:hAnsi="方正仿宋_GB2312" w:eastAsia="方正仿宋_GB2312" w:cs="方正仿宋_GB2312"/>
              <w:sz w:val="30"/>
              <w:szCs w:val="30"/>
              <w:lang w:eastAsia="zh-CN"/>
            </w:rPr>
            <w:t>项目基本情况</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_Toc15901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7</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_Toc21585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（一）</w:t>
          </w:r>
          <w:r>
            <w:rPr>
              <w:rFonts w:hint="eastAsia" w:ascii="方正仿宋_GB2312" w:hAnsi="方正仿宋_GB2312" w:eastAsia="方正仿宋_GB2312" w:cs="方正仿宋_GB2312"/>
              <w:sz w:val="30"/>
              <w:szCs w:val="30"/>
            </w:rPr>
            <w:t>项目</w:t>
          </w:r>
          <w:r>
            <w:rPr>
              <w:rFonts w:hint="eastAsia" w:ascii="方正仿宋_GB2312" w:hAnsi="方正仿宋_GB2312" w:eastAsia="方正仿宋_GB2312" w:cs="方正仿宋_GB2312"/>
              <w:sz w:val="30"/>
              <w:szCs w:val="30"/>
              <w:lang w:eastAsia="zh-CN"/>
            </w:rPr>
            <w:t>概况</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_Toc21585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7</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_Toc20297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（二）</w:t>
          </w:r>
          <w:r>
            <w:rPr>
              <w:rFonts w:hint="eastAsia" w:ascii="方正仿宋_GB2312" w:hAnsi="方正仿宋_GB2312" w:eastAsia="方正仿宋_GB2312" w:cs="方正仿宋_GB2312"/>
              <w:sz w:val="30"/>
              <w:szCs w:val="30"/>
            </w:rPr>
            <w:t>项目承担单位</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_Toc20297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7</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_Toc27418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（三）</w:t>
          </w:r>
          <w:r>
            <w:rPr>
              <w:rFonts w:hint="eastAsia" w:ascii="方正仿宋_GB2312" w:hAnsi="方正仿宋_GB2312" w:eastAsia="方正仿宋_GB2312" w:cs="方正仿宋_GB2312"/>
              <w:sz w:val="30"/>
              <w:szCs w:val="30"/>
            </w:rPr>
            <w:t>项目建设地地理位置、自然情况、资源情况、经济情况、人口情况</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_Toc27418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9</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8"/>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_Toc24877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三</w:t>
          </w:r>
          <w:r>
            <w:rPr>
              <w:rFonts w:hint="eastAsia" w:ascii="方正仿宋_GB2312" w:hAnsi="方正仿宋_GB2312" w:eastAsia="方正仿宋_GB2312" w:cs="方正仿宋_GB2312"/>
              <w:sz w:val="30"/>
              <w:szCs w:val="30"/>
            </w:rPr>
            <w:t>、</w:t>
          </w:r>
          <w:r>
            <w:rPr>
              <w:rFonts w:hint="eastAsia" w:ascii="方正仿宋_GB2312" w:hAnsi="方正仿宋_GB2312" w:eastAsia="方正仿宋_GB2312" w:cs="方正仿宋_GB2312"/>
              <w:sz w:val="30"/>
              <w:szCs w:val="30"/>
              <w:lang w:eastAsia="zh-CN"/>
            </w:rPr>
            <w:t>项目实施内容</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_Toc24877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11</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_Toc4941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（一）建设目标</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_Toc4941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11</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_Toc11538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（二）设计依据</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_Toc11538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11</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_Toc18378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（三）建设内容</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_Toc18378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12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_Toc5695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（四）项目建设时间安排</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_Toc5695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16</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_Toc2804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（五）建设实施绩效目标</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_Toc2804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17</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_Toc6342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（六）环境影响</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_Toc6342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17</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_Toc18159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（七）安全生产</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_Toc18159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19</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8"/>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_Toc9029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四</w:t>
          </w:r>
          <w:r>
            <w:rPr>
              <w:rFonts w:hint="eastAsia" w:ascii="方正仿宋_GB2312" w:hAnsi="方正仿宋_GB2312" w:eastAsia="方正仿宋_GB2312" w:cs="方正仿宋_GB2312"/>
              <w:sz w:val="30"/>
              <w:szCs w:val="30"/>
            </w:rPr>
            <w:t>、</w:t>
          </w:r>
          <w:r>
            <w:rPr>
              <w:rFonts w:hint="eastAsia" w:ascii="方正仿宋_GB2312" w:hAnsi="方正仿宋_GB2312" w:eastAsia="方正仿宋_GB2312" w:cs="方正仿宋_GB2312"/>
              <w:sz w:val="30"/>
              <w:szCs w:val="30"/>
              <w:lang w:eastAsia="zh-CN"/>
            </w:rPr>
            <w:t>资金使用</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_Toc9029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20</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_Toc20673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（一）总投资概算与资金来源。</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_Toc20673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20</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_Toc23557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（二）投资估算依据</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PAGEREF _Toc23557 \h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t>20</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end"/>
          </w:r>
        </w:p>
        <w:p>
          <w:pPr>
            <w:pStyle w:val="9"/>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_Toc11648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（三）</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_Toc5102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财政资金投入使用方式</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1</w:t>
          </w:r>
        </w:p>
        <w:p>
          <w:pPr>
            <w:pStyle w:val="8"/>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_Toc29173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五、保障措施</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1</w:t>
          </w:r>
        </w:p>
        <w:p>
          <w:pPr>
            <w:pStyle w:val="9"/>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_Toc32284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（一）组织管理</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2</w:t>
          </w:r>
        </w:p>
        <w:p>
          <w:pPr>
            <w:pStyle w:val="9"/>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_Toc6241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（二）方案制定审批</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2</w:t>
          </w:r>
        </w:p>
        <w:p>
          <w:pPr>
            <w:pStyle w:val="9"/>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_Toc14620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（三）招标采购</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2</w:t>
          </w:r>
        </w:p>
        <w:p>
          <w:pPr>
            <w:pStyle w:val="9"/>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_Toc17722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（四）工程管理措施</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2</w:t>
          </w:r>
        </w:p>
        <w:p>
          <w:pPr>
            <w:pStyle w:val="9"/>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_Toc24350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（五）资金管理措施</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3</w:t>
          </w:r>
        </w:p>
        <w:p>
          <w:pPr>
            <w:pStyle w:val="9"/>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_Toc31529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（六）强化督促指导</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3</w:t>
          </w:r>
        </w:p>
        <w:p>
          <w:pPr>
            <w:pStyle w:val="9"/>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_Toc15512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（七）项目验收</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4</w:t>
          </w:r>
        </w:p>
        <w:p>
          <w:pPr>
            <w:pStyle w:val="8"/>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_Toc32647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eastAsia="zh-CN"/>
            </w:rPr>
            <w:t>六、经济、生态、社会效益分析评价</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4</w:t>
          </w:r>
        </w:p>
        <w:p>
          <w:pPr>
            <w:pStyle w:val="9"/>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_Toc2358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（一）经济效益</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4</w:t>
          </w:r>
        </w:p>
        <w:p>
          <w:pPr>
            <w:pStyle w:val="9"/>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_Toc31784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（二）环境效益</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4</w:t>
          </w:r>
        </w:p>
        <w:p>
          <w:pPr>
            <w:pStyle w:val="9"/>
            <w:tabs>
              <w:tab w:val="right" w:leader="dot" w:pos="8845"/>
            </w:tabs>
            <w:rPr>
              <w:rFonts w:hint="eastAsia" w:ascii="方正仿宋_GB2312" w:hAnsi="方正仿宋_GB2312" w:eastAsia="方正仿宋_GB2312" w:cs="方正仿宋_GB2312"/>
              <w:sz w:val="30"/>
              <w:szCs w:val="30"/>
              <w:lang w:val="en-US" w:eastAsia="zh-CN"/>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_Toc7429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lang w:val="en-US" w:eastAsia="zh-CN"/>
            </w:rPr>
            <w:t>（三）社会效益</w:t>
          </w:r>
          <w:r>
            <w:rPr>
              <w:rFonts w:hint="eastAsia" w:ascii="方正仿宋_GB2312" w:hAnsi="方正仿宋_GB2312" w:eastAsia="方正仿宋_GB2312" w:cs="方正仿宋_GB2312"/>
              <w:sz w:val="30"/>
              <w:szCs w:val="30"/>
            </w:rPr>
            <w:tab/>
          </w:r>
          <w:r>
            <w:rPr>
              <w:rFonts w:hint="eastAsia" w:ascii="方正仿宋_GB2312" w:hAnsi="方正仿宋_GB2312" w:eastAsia="方正仿宋_GB2312" w:cs="方正仿宋_GB2312"/>
              <w:sz w:val="30"/>
              <w:szCs w:val="30"/>
              <w:lang w:val="en-US" w:eastAsia="zh-CN"/>
            </w:rPr>
            <w:t>2</w:t>
          </w: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5</w:t>
          </w:r>
        </w:p>
        <w:p>
          <w:pPr>
            <w:pStyle w:val="8"/>
            <w:tabs>
              <w:tab w:val="right" w:leader="dot" w:pos="8845"/>
            </w:tabs>
            <w:rPr>
              <w:rFonts w:hint="eastAsia" w:ascii="方正仿宋_GB2312" w:hAnsi="方正仿宋_GB2312" w:eastAsia="方正仿宋_GB2312" w:cs="方正仿宋_GB2312"/>
              <w:sz w:val="30"/>
              <w:szCs w:val="30"/>
            </w:rPr>
          </w:pPr>
          <w:r>
            <w:rPr>
              <w:rFonts w:hint="eastAsia" w:ascii="方正仿宋_GB2312" w:hAnsi="方正仿宋_GB2312" w:eastAsia="方正仿宋_GB2312" w:cs="方正仿宋_GB2312"/>
              <w:sz w:val="30"/>
              <w:szCs w:val="30"/>
            </w:rPr>
            <w:fldChar w:fldCharType="begin"/>
          </w:r>
          <w:r>
            <w:rPr>
              <w:rFonts w:hint="eastAsia" w:ascii="方正仿宋_GB2312" w:hAnsi="方正仿宋_GB2312" w:eastAsia="方正仿宋_GB2312" w:cs="方正仿宋_GB2312"/>
              <w:sz w:val="30"/>
              <w:szCs w:val="30"/>
            </w:rPr>
            <w:instrText xml:space="preserve"> HYPERLINK \l _Toc4163 </w:instrText>
          </w:r>
          <w:r>
            <w:rPr>
              <w:rFonts w:hint="eastAsia" w:ascii="方正仿宋_GB2312" w:hAnsi="方正仿宋_GB2312" w:eastAsia="方正仿宋_GB2312" w:cs="方正仿宋_GB2312"/>
              <w:sz w:val="30"/>
              <w:szCs w:val="30"/>
            </w:rPr>
            <w:fldChar w:fldCharType="separate"/>
          </w:r>
          <w:r>
            <w:rPr>
              <w:rFonts w:hint="eastAsia" w:ascii="方正仿宋_GB2312" w:hAnsi="方正仿宋_GB2312" w:eastAsia="方正仿宋_GB2312" w:cs="方正仿宋_GB2312"/>
              <w:sz w:val="30"/>
              <w:szCs w:val="30"/>
            </w:rPr>
            <w:fldChar w:fldCharType="end"/>
          </w:r>
        </w:p>
        <w:p>
          <w:pPr>
            <w:keepNext w:val="0"/>
            <w:keepLines w:val="0"/>
            <w:pageBreakBefore w:val="0"/>
            <w:widowControl w:val="0"/>
            <w:tabs>
              <w:tab w:val="left" w:pos="861"/>
              <w:tab w:val="center" w:pos="4482"/>
            </w:tabs>
            <w:kinsoku/>
            <w:wordWrap/>
            <w:overflowPunct/>
            <w:topLinePunct w:val="0"/>
            <w:autoSpaceDE/>
            <w:autoSpaceDN/>
            <w:bidi w:val="0"/>
            <w:adjustRightInd/>
            <w:snapToGrid/>
            <w:spacing w:before="0" w:beforeLines="0" w:after="0" w:afterLines="0" w:line="300" w:lineRule="exact"/>
            <w:ind w:left="0" w:leftChars="0" w:right="0" w:rightChars="0" w:firstLine="0" w:firstLineChars="0"/>
            <w:jc w:val="left"/>
            <w:textAlignment w:val="auto"/>
            <w:rPr>
              <w:b/>
            </w:rPr>
          </w:pPr>
          <w:r>
            <w:rPr>
              <w:rFonts w:hint="eastAsia" w:ascii="方正仿宋_GB2312" w:hAnsi="方正仿宋_GB2312" w:eastAsia="方正仿宋_GB2312" w:cs="方正仿宋_GB2312"/>
              <w:sz w:val="30"/>
              <w:szCs w:val="30"/>
            </w:rPr>
            <w:fldChar w:fldCharType="end"/>
          </w:r>
          <w:r>
            <w:rPr>
              <w:rFonts w:hint="eastAsia" w:ascii="方正仿宋_GB2312" w:hAnsi="方正仿宋_GB2312" w:eastAsia="方正仿宋_GB2312" w:cs="方正仿宋_GB2312"/>
              <w:sz w:val="30"/>
              <w:szCs w:val="30"/>
              <w:lang w:val="en-US" w:eastAsia="zh-CN"/>
            </w:rPr>
            <w:t xml:space="preserve">   </w:t>
          </w:r>
          <w:r>
            <w:rPr>
              <w:rFonts w:hint="eastAsia" w:ascii="方正仿宋_GB2312" w:hAnsi="方正仿宋_GB2312" w:eastAsia="方正仿宋_GB2312" w:cs="方正仿宋_GB2312"/>
              <w:sz w:val="30"/>
              <w:szCs w:val="30"/>
            </w:rPr>
            <w:tab/>
          </w:r>
        </w:p>
      </w:sdtContent>
    </w:sdt>
    <w:p>
      <w:pPr>
        <w:adjustRightInd w:val="0"/>
        <w:snapToGrid w:val="0"/>
        <w:spacing w:line="560" w:lineRule="exact"/>
        <w:jc w:val="both"/>
        <w:outlineLvl w:val="0"/>
        <w:rPr>
          <w:rFonts w:hint="eastAsia"/>
          <w:highlight w:val="none"/>
          <w:lang w:val="en-US" w:eastAsia="zh-CN"/>
        </w:rPr>
      </w:pPr>
      <w:r>
        <w:rPr>
          <w:rFonts w:hint="eastAsia"/>
          <w:highlight w:val="none"/>
          <w:lang w:val="en-US" w:eastAsia="zh-CN"/>
        </w:rPr>
        <w:br w:type="page"/>
      </w:r>
      <w:bookmarkStart w:id="7" w:name="_Toc23190"/>
      <w:bookmarkStart w:id="8" w:name="_Toc9698"/>
      <w:bookmarkStart w:id="9" w:name="_Toc16861"/>
      <w:bookmarkStart w:id="10" w:name="_Toc4203"/>
      <w:bookmarkStart w:id="11" w:name="_Toc4120"/>
      <w:bookmarkStart w:id="12" w:name="_Toc4539"/>
    </w:p>
    <w:p>
      <w:pPr>
        <w:spacing w:line="360" w:lineRule="auto"/>
        <w:jc w:val="center"/>
        <w:rPr>
          <w:rFonts w:hint="eastAsia" w:eastAsia="方正小标宋简体" w:cs="Times New Roman"/>
          <w:color w:val="000000"/>
          <w:kern w:val="44"/>
          <w:sz w:val="44"/>
          <w:szCs w:val="22"/>
          <w:highlight w:val="none"/>
          <w:lang w:val="en-US" w:eastAsia="zh-CN" w:bidi="ar-SA"/>
        </w:rPr>
      </w:pPr>
      <w:r>
        <w:rPr>
          <w:rFonts w:hint="eastAsia" w:eastAsia="方正小标宋简体" w:cs="Times New Roman"/>
          <w:color w:val="000000"/>
          <w:kern w:val="44"/>
          <w:sz w:val="44"/>
          <w:szCs w:val="22"/>
          <w:highlight w:val="none"/>
          <w:lang w:val="en-US" w:eastAsia="zh-CN" w:bidi="ar-SA"/>
        </w:rPr>
        <w:t>平山县2026年省级农村新能源开发利用</w:t>
      </w:r>
    </w:p>
    <w:p>
      <w:pPr>
        <w:spacing w:line="360" w:lineRule="auto"/>
        <w:jc w:val="center"/>
        <w:rPr>
          <w:rFonts w:hint="eastAsia" w:eastAsia="方正小标宋简体" w:cs="Times New Roman"/>
          <w:color w:val="000000"/>
          <w:kern w:val="44"/>
          <w:sz w:val="44"/>
          <w:szCs w:val="22"/>
          <w:highlight w:val="none"/>
          <w:lang w:val="en-US" w:eastAsia="zh-CN" w:bidi="ar-SA"/>
        </w:rPr>
      </w:pPr>
      <w:r>
        <w:rPr>
          <w:rFonts w:hint="eastAsia" w:eastAsia="方正小标宋简体" w:cs="Times New Roman"/>
          <w:color w:val="000000"/>
          <w:kern w:val="44"/>
          <w:sz w:val="44"/>
          <w:szCs w:val="22"/>
          <w:highlight w:val="none"/>
          <w:lang w:val="en-US" w:eastAsia="zh-CN" w:bidi="ar-SA"/>
        </w:rPr>
        <w:t>（清洁用能多元利用）项目</w:t>
      </w:r>
    </w:p>
    <w:p>
      <w:pPr>
        <w:spacing w:line="360" w:lineRule="auto"/>
        <w:jc w:val="center"/>
        <w:rPr>
          <w:rFonts w:hint="eastAsia" w:ascii="仿宋_GB2312" w:hAnsi="仿宋" w:eastAsia="仿宋_GB2312"/>
          <w:sz w:val="32"/>
          <w:szCs w:val="32"/>
        </w:rPr>
      </w:pPr>
      <w:r>
        <w:rPr>
          <w:rFonts w:hint="eastAsia" w:eastAsia="方正小标宋简体" w:cs="Times New Roman"/>
          <w:color w:val="000000"/>
          <w:kern w:val="44"/>
          <w:sz w:val="44"/>
          <w:szCs w:val="22"/>
          <w:highlight w:val="none"/>
          <w:lang w:val="en-US" w:eastAsia="zh-CN" w:bidi="ar-SA"/>
        </w:rPr>
        <w:t>太阳能+空气源热泵供暖实施方案</w:t>
      </w:r>
    </w:p>
    <w:p>
      <w:pPr>
        <w:adjustRightInd w:val="0"/>
        <w:snapToGrid w:val="0"/>
        <w:spacing w:line="560" w:lineRule="exact"/>
        <w:ind w:firstLine="640" w:firstLineChars="200"/>
        <w:jc w:val="both"/>
        <w:outlineLvl w:val="0"/>
        <w:rPr>
          <w:rFonts w:hint="eastAsia" w:ascii="仿宋_GB2312" w:hAnsi="仿宋" w:eastAsia="仿宋_GB2312"/>
          <w:sz w:val="32"/>
          <w:szCs w:val="32"/>
        </w:rPr>
      </w:pPr>
      <w:bookmarkStart w:id="13" w:name="_Toc17595"/>
      <w:bookmarkStart w:id="14" w:name="_Toc8075"/>
      <w:bookmarkStart w:id="15" w:name="_Toc19559"/>
      <w:bookmarkStart w:id="16" w:name="_Toc16960"/>
      <w:r>
        <w:rPr>
          <w:rFonts w:hint="eastAsia" w:ascii="仿宋_GB2312" w:hAnsi="仿宋" w:eastAsia="仿宋_GB2312"/>
          <w:sz w:val="32"/>
          <w:szCs w:val="32"/>
        </w:rPr>
        <w:t>为助力实施乡村振兴战略，深入推进农业供给侧结构性改革，进一步加大浅层地热能、太阳能、生物质能等可再生能源的在农村的推广应用，充分发挥可再生能源在大气污染防治中的作用，</w:t>
      </w:r>
      <w:bookmarkEnd w:id="13"/>
    </w:p>
    <w:p>
      <w:pPr>
        <w:adjustRightInd w:val="0"/>
        <w:snapToGrid w:val="0"/>
        <w:spacing w:line="560" w:lineRule="exact"/>
        <w:ind w:firstLine="640" w:firstLineChars="200"/>
        <w:jc w:val="both"/>
        <w:outlineLvl w:val="0"/>
        <w:rPr>
          <w:rFonts w:hint="eastAsia"/>
          <w:highlight w:val="none"/>
          <w:lang w:val="en-US" w:eastAsia="zh-CN"/>
        </w:rPr>
      </w:pPr>
      <w:bookmarkStart w:id="17" w:name="_Toc28955"/>
      <w:r>
        <w:rPr>
          <w:rFonts w:hint="eastAsia" w:ascii="仿宋_GB2312" w:hAnsi="仿宋" w:eastAsia="仿宋_GB2312"/>
          <w:sz w:val="32"/>
          <w:szCs w:val="32"/>
        </w:rPr>
        <w:t>按照《河北省农业农村厅关于印发&lt;2026年中央和省级财政提前下达农业转移支付项目实施方案&gt;的通知》（冀农财发[2026]1号）要求，</w:t>
      </w:r>
      <w:r>
        <w:rPr>
          <w:rFonts w:hint="eastAsia" w:ascii="仿宋_GB2312" w:hAnsi="仿宋" w:eastAsia="仿宋_GB2312"/>
          <w:sz w:val="32"/>
          <w:szCs w:val="32"/>
          <w:lang w:val="en-US" w:eastAsia="zh-CN"/>
        </w:rPr>
        <w:t>公司在平山县新能源服务中心的帮助指导下，根据本县及公司实际情况，共同研究制定了本实施方案。</w:t>
      </w:r>
      <w:bookmarkEnd w:id="14"/>
      <w:bookmarkEnd w:id="15"/>
      <w:bookmarkEnd w:id="16"/>
      <w:bookmarkEnd w:id="17"/>
    </w:p>
    <w:p>
      <w:pPr>
        <w:adjustRightInd w:val="0"/>
        <w:snapToGrid w:val="0"/>
        <w:spacing w:line="560" w:lineRule="exact"/>
        <w:jc w:val="both"/>
        <w:outlineLvl w:val="0"/>
        <w:rPr>
          <w:rFonts w:hint="eastAsia"/>
          <w:highlight w:val="none"/>
          <w:lang w:val="en-US" w:eastAsia="zh-CN"/>
        </w:rPr>
      </w:pPr>
    </w:p>
    <w:p>
      <w:pPr>
        <w:adjustRightInd w:val="0"/>
        <w:snapToGrid w:val="0"/>
        <w:spacing w:line="560" w:lineRule="exact"/>
        <w:jc w:val="both"/>
        <w:outlineLvl w:val="0"/>
        <w:rPr>
          <w:rFonts w:eastAsia="黑体"/>
          <w:color w:val="000000"/>
          <w:sz w:val="36"/>
          <w:szCs w:val="36"/>
          <w:highlight w:val="none"/>
        </w:rPr>
      </w:pPr>
      <w:bookmarkStart w:id="18" w:name="_Toc11688"/>
      <w:r>
        <w:rPr>
          <w:rStyle w:val="14"/>
          <w:sz w:val="36"/>
          <w:szCs w:val="36"/>
        </w:rPr>
        <w:t>一、</w:t>
      </w:r>
      <w:bookmarkEnd w:id="7"/>
      <w:bookmarkEnd w:id="8"/>
      <w:bookmarkEnd w:id="9"/>
      <w:bookmarkEnd w:id="10"/>
      <w:bookmarkEnd w:id="11"/>
      <w:bookmarkEnd w:id="12"/>
      <w:r>
        <w:rPr>
          <w:rStyle w:val="14"/>
          <w:rFonts w:hint="eastAsia" w:eastAsia="方正小标宋简体"/>
          <w:sz w:val="36"/>
          <w:szCs w:val="36"/>
          <w:lang w:eastAsia="zh-CN"/>
        </w:rPr>
        <w:t>实施方案编制的背景、指导思想和基本原则</w:t>
      </w:r>
      <w:bookmarkEnd w:id="18"/>
    </w:p>
    <w:p>
      <w:pPr>
        <w:pStyle w:val="4"/>
        <w:bidi w:val="0"/>
        <w:rPr>
          <w:rFonts w:hint="eastAsia" w:ascii="仿宋_GB2312" w:eastAsia="仿宋_GB2312" w:cs="Times New Roman"/>
          <w:color w:val="000000"/>
          <w:sz w:val="32"/>
          <w:szCs w:val="32"/>
          <w:highlight w:val="none"/>
          <w:shd w:val="clear" w:color="auto" w:fill="FFFFFF"/>
          <w:lang w:val="en-US" w:eastAsia="zh-CN"/>
        </w:rPr>
      </w:pPr>
      <w:bookmarkStart w:id="19" w:name="_Toc24038"/>
      <w:r>
        <w:rPr>
          <w:rFonts w:hint="eastAsia"/>
          <w:lang w:eastAsia="zh-CN"/>
        </w:rPr>
        <w:t>（一）背景</w:t>
      </w:r>
      <w:bookmarkEnd w:id="19"/>
    </w:p>
    <w:p>
      <w:pPr>
        <w:spacing w:line="360" w:lineRule="auto"/>
        <w:ind w:firstLine="640" w:firstLineChars="200"/>
        <w:rPr>
          <w:rFonts w:ascii="仿宋_GB2312" w:eastAsia="仿宋_GB2312"/>
          <w:color w:val="000000"/>
          <w:sz w:val="32"/>
          <w:szCs w:val="32"/>
          <w:shd w:val="clear" w:color="auto" w:fill="FFFFFF"/>
        </w:rPr>
      </w:pPr>
      <w:r>
        <w:rPr>
          <w:rFonts w:hint="eastAsia" w:ascii="仿宋_GB2312" w:eastAsia="仿宋_GB2312"/>
          <w:color w:val="000000"/>
          <w:sz w:val="32"/>
          <w:szCs w:val="32"/>
          <w:shd w:val="clear" w:color="auto" w:fill="FFFFFF"/>
        </w:rPr>
        <w:t>本项目以习近平新时代中国特色社会主义思想、生态文明思想为指导，以绿色生态、产业提质为导向，以提高农村新能源开发利用质量和效益为目标，以清洁能源（电力+太阳能）代煤综合利用项目为抓手，按照“疏堵结合，综合利用”的思路，探索可持续、可复制推广的“太阳能集热器+空气能热泵”综合利用技术路线、运行模式和工作机制，以点带面，提升全市清洁能源综合利用水平和效益，通过工艺技术装备创新、产业模式创新和人才队伍开发建设，推动农村集中居住区供暖工程向“高效、规模化、标准化、产业化”方向转变，形成稳定的资源绿色化利用和资源再生能力，解决农村取暖分散、低效和污染问题，实现农村供暖高效、绿色发展，切实改善农村人居环境，提升我市农村居住生态环境质量。</w:t>
      </w:r>
    </w:p>
    <w:p>
      <w:pPr>
        <w:spacing w:line="360" w:lineRule="auto"/>
        <w:ind w:firstLine="640" w:firstLineChars="200"/>
        <w:rPr>
          <w:rFonts w:ascii="仿宋_GB2312" w:eastAsia="仿宋_GB2312"/>
          <w:color w:val="000000"/>
          <w:sz w:val="32"/>
          <w:szCs w:val="32"/>
          <w:shd w:val="clear" w:color="auto" w:fill="FFFFFF"/>
        </w:rPr>
      </w:pPr>
      <w:r>
        <w:rPr>
          <w:rFonts w:hint="eastAsia" w:ascii="仿宋_GB2312" w:eastAsia="仿宋_GB2312"/>
          <w:color w:val="000000"/>
          <w:sz w:val="32"/>
          <w:szCs w:val="32"/>
          <w:shd w:val="clear" w:color="auto" w:fill="FFFFFF"/>
        </w:rPr>
        <w:t>本项目主要是利用太阳能+空气能，将阳光转化为热能，通过热交换器或储热罐将热量传递给暖气系统，实现供暖。解决为</w:t>
      </w:r>
      <w:r>
        <w:rPr>
          <w:rFonts w:hint="eastAsia" w:ascii="仿宋_GB2312" w:eastAsia="仿宋_GB2312"/>
          <w:color w:val="000000"/>
          <w:sz w:val="32"/>
          <w:szCs w:val="32"/>
          <w:shd w:val="clear" w:color="auto" w:fill="FFFFFF"/>
          <w:lang w:val="en-US" w:eastAsia="zh-CN"/>
        </w:rPr>
        <w:t>6</w:t>
      </w:r>
      <w:r>
        <w:rPr>
          <w:rFonts w:hint="eastAsia" w:ascii="仿宋_GB2312" w:eastAsia="仿宋_GB2312"/>
          <w:color w:val="000000"/>
          <w:sz w:val="32"/>
          <w:szCs w:val="32"/>
          <w:shd w:val="clear" w:color="auto" w:fill="FFFFFF"/>
        </w:rPr>
        <w:t>栋标准化鸡舍供暖问题，实现该项目的清洁能源替代，促进农村新能源多元发展及清洁能源替代，从而实现采暖用能清洁化、替代原有燃煤锅炉降低有害物质排放。</w:t>
      </w:r>
    </w:p>
    <w:p>
      <w:pPr>
        <w:spacing w:line="360" w:lineRule="auto"/>
        <w:ind w:firstLine="640" w:firstLineChars="200"/>
        <w:rPr>
          <w:rFonts w:ascii="仿宋_GB2312" w:eastAsia="仿宋_GB2312"/>
          <w:color w:val="000000"/>
          <w:sz w:val="32"/>
          <w:szCs w:val="32"/>
          <w:shd w:val="clear" w:color="auto" w:fill="FFFFFF"/>
        </w:rPr>
      </w:pPr>
      <w:r>
        <w:rPr>
          <w:rFonts w:hint="eastAsia" w:ascii="仿宋_GB2312" w:eastAsia="仿宋_GB2312"/>
          <w:color w:val="000000"/>
          <w:sz w:val="32"/>
          <w:szCs w:val="32"/>
          <w:shd w:val="clear" w:color="auto" w:fill="FFFFFF"/>
        </w:rPr>
        <w:t>本项目旨在贯彻国家及省农业绿色发展有关要求，具有节能、环保、清洁、经济、安全、舒适等特点，可最大限度减低农村农产品企业采暖负担，符合美丽乡村建设的客观要求，具有较好的社会效益和推广前景。</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olor w:val="000000"/>
          <w:sz w:val="32"/>
          <w:szCs w:val="32"/>
          <w:shd w:val="clear" w:color="auto" w:fill="FFFFFF"/>
        </w:rPr>
        <w:t>根据河北省农业农村厅关于印发《2026年中央和省级财政提前下达农业转移支付项目实施方案》的通知冀农财发〔2026〕1号相关要求，结合本地实际制定本实施方案</w:t>
      </w:r>
      <w:r>
        <w:rPr>
          <w:rFonts w:hint="eastAsia" w:ascii="仿宋_GB2312" w:eastAsia="仿宋_GB2312" w:cs="Times New Roman"/>
          <w:color w:val="000000"/>
          <w:sz w:val="32"/>
          <w:szCs w:val="32"/>
          <w:highlight w:val="none"/>
          <w:shd w:val="clear" w:color="auto" w:fill="FFFFFF"/>
          <w:lang w:val="en-US" w:eastAsia="zh-CN"/>
        </w:rPr>
        <w:t>。</w:t>
      </w:r>
    </w:p>
    <w:p>
      <w:pPr>
        <w:pStyle w:val="4"/>
        <w:bidi w:val="0"/>
        <w:rPr>
          <w:rFonts w:hint="eastAsia" w:ascii="仿宋_GB2312" w:hAnsi="Times New Roman" w:eastAsia="黑体" w:cs="Times New Roman"/>
          <w:color w:val="000000"/>
          <w:szCs w:val="32"/>
          <w:highlight w:val="none"/>
          <w:shd w:val="clear" w:color="auto" w:fill="FFFFFF"/>
          <w:lang w:eastAsia="zh-CN"/>
        </w:rPr>
      </w:pPr>
      <w:bookmarkStart w:id="20" w:name="_Toc23210"/>
      <w:r>
        <w:rPr>
          <w:rFonts w:hint="eastAsia"/>
          <w:lang w:eastAsia="zh-CN"/>
        </w:rPr>
        <w:t>（二）</w:t>
      </w:r>
      <w:r>
        <w:rPr>
          <w:rFonts w:hint="eastAsia"/>
        </w:rPr>
        <w:t>指导思想</w:t>
      </w:r>
      <w:bookmarkEnd w:id="20"/>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紧紧围绕大气污染防治建设目标，加快发展新质生产力，扎实推进秸秆能源化利用模式，突出抓好农业生产设施和农民生活清洁用能示范，推进农业生产节支增效，农民增收，农村能源产业高端化、绿色化。持续推动农业农村发展保持稳中向好、稳中提质的势头，实现经济生态双赢。开展“双代”未覆盖区域脱贫巩固对接县的整村冬季清洁取暖示范，促进农村新能源多元发展。推进农村能源清洁开发利用，探索农村采暖新型能源模式，更好解决农村冬季取暖问题。</w:t>
      </w:r>
    </w:p>
    <w:p>
      <w:pPr>
        <w:pStyle w:val="4"/>
        <w:bidi w:val="0"/>
        <w:rPr>
          <w:rFonts w:hint="eastAsia" w:ascii="仿宋_GB2312" w:hAnsi="Times New Roman" w:eastAsia="黑体" w:cs="Times New Roman"/>
          <w:color w:val="000000"/>
          <w:szCs w:val="32"/>
          <w:highlight w:val="none"/>
          <w:shd w:val="clear" w:color="auto" w:fill="FFFFFF"/>
          <w:lang w:eastAsia="zh-CN"/>
        </w:rPr>
      </w:pPr>
      <w:bookmarkStart w:id="21" w:name="_Toc15958"/>
      <w:r>
        <w:rPr>
          <w:rFonts w:hint="eastAsia"/>
          <w:lang w:eastAsia="zh-CN"/>
        </w:rPr>
        <w:t>（三）</w:t>
      </w:r>
      <w:r>
        <w:rPr>
          <w:rFonts w:hint="eastAsia"/>
        </w:rPr>
        <w:t>基本原则</w:t>
      </w:r>
      <w:bookmarkEnd w:id="21"/>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该项目的建设实施，严格遵循实事求是、因地制宜、科学实用、利于执行的基本原则，结合我县的自然条件、农民的生产生活习惯及承建单位等实际情况，依据当地的现有社会资源和条件进行科学高效地建设和生产。</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因地制宜，优选模式：根据项目资源状况、经济条件，从实际出发优选采暖模式；</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科技支撑，效果优先：坚持把先进技术与实用技术相结合， 引进先进科技手段和清洁可再生能源产品，务求取得良好的经济效益与社会效益；</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lang w:eastAsia="zh-CN"/>
        </w:rPr>
      </w:pPr>
      <w:r>
        <w:rPr>
          <w:rFonts w:hint="eastAsia" w:ascii="仿宋_GB2312" w:eastAsia="仿宋_GB2312" w:cs="Times New Roman"/>
          <w:color w:val="000000"/>
          <w:sz w:val="32"/>
          <w:szCs w:val="32"/>
          <w:highlight w:val="none"/>
          <w:shd w:val="clear" w:color="auto" w:fill="FFFFFF"/>
          <w:lang w:val="en-US" w:eastAsia="zh-CN"/>
        </w:rPr>
        <w:t>政府引导，社会参与群策群力：积极争取财政资金支持，引入市场机制，形成政府、社会、用户多方投资合作，力争群策群力、效益共享。</w:t>
      </w:r>
    </w:p>
    <w:p>
      <w:pPr>
        <w:adjustRightInd w:val="0"/>
        <w:snapToGrid w:val="0"/>
        <w:spacing w:line="560" w:lineRule="exact"/>
        <w:jc w:val="both"/>
        <w:outlineLvl w:val="0"/>
        <w:rPr>
          <w:rFonts w:eastAsia="黑体"/>
          <w:color w:val="000000"/>
          <w:sz w:val="32"/>
          <w:szCs w:val="32"/>
          <w:highlight w:val="none"/>
        </w:rPr>
      </w:pPr>
      <w:bookmarkStart w:id="22" w:name="_Toc15901"/>
      <w:r>
        <w:rPr>
          <w:rStyle w:val="14"/>
          <w:rFonts w:hint="eastAsia" w:eastAsia="方正小标宋简体"/>
          <w:sz w:val="36"/>
          <w:szCs w:val="36"/>
          <w:lang w:eastAsia="zh-CN"/>
        </w:rPr>
        <w:t>二</w:t>
      </w:r>
      <w:r>
        <w:rPr>
          <w:rStyle w:val="14"/>
          <w:sz w:val="36"/>
          <w:szCs w:val="36"/>
        </w:rPr>
        <w:t>、</w:t>
      </w:r>
      <w:r>
        <w:rPr>
          <w:rStyle w:val="14"/>
          <w:rFonts w:hint="eastAsia" w:eastAsia="方正小标宋简体"/>
          <w:sz w:val="36"/>
          <w:szCs w:val="36"/>
          <w:lang w:eastAsia="zh-CN"/>
        </w:rPr>
        <w:t>项目</w:t>
      </w:r>
      <w:r>
        <w:rPr>
          <w:rStyle w:val="14"/>
          <w:rFonts w:hint="eastAsia"/>
          <w:sz w:val="36"/>
          <w:szCs w:val="36"/>
          <w:lang w:eastAsia="zh-CN"/>
        </w:rPr>
        <w:t>基本情况</w:t>
      </w:r>
      <w:bookmarkEnd w:id="22"/>
    </w:p>
    <w:p>
      <w:pPr>
        <w:pStyle w:val="4"/>
        <w:bidi w:val="0"/>
        <w:rPr>
          <w:rFonts w:hint="eastAsia" w:ascii="仿宋_GB2312" w:hAnsi="Times New Roman" w:eastAsia="黑体" w:cs="Times New Roman"/>
          <w:color w:val="000000"/>
          <w:szCs w:val="32"/>
          <w:highlight w:val="none"/>
          <w:shd w:val="clear" w:color="auto" w:fill="FFFFFF"/>
          <w:lang w:eastAsia="zh-CN"/>
        </w:rPr>
      </w:pPr>
      <w:bookmarkStart w:id="23" w:name="_Toc21585"/>
      <w:r>
        <w:rPr>
          <w:rFonts w:hint="eastAsia"/>
          <w:lang w:eastAsia="zh-CN"/>
        </w:rPr>
        <w:t>（一）</w:t>
      </w:r>
      <w:r>
        <w:rPr>
          <w:rFonts w:hint="eastAsia"/>
        </w:rPr>
        <w:t>项目</w:t>
      </w:r>
      <w:r>
        <w:rPr>
          <w:rFonts w:hint="eastAsia"/>
          <w:lang w:eastAsia="zh-CN"/>
        </w:rPr>
        <w:t>概况</w:t>
      </w:r>
      <w:bookmarkEnd w:id="23"/>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1.项目名称</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平山县</w:t>
      </w:r>
      <w:r>
        <w:rPr>
          <w:rFonts w:hint="default" w:ascii="仿宋_GB2312" w:eastAsia="仿宋_GB2312" w:cs="Times New Roman"/>
          <w:color w:val="000000"/>
          <w:sz w:val="32"/>
          <w:szCs w:val="32"/>
          <w:highlight w:val="none"/>
          <w:shd w:val="clear" w:color="auto" w:fill="FFFFFF"/>
          <w:lang w:val="en-US" w:eastAsia="zh-CN"/>
        </w:rPr>
        <w:t>2026年</w:t>
      </w:r>
      <w:r>
        <w:rPr>
          <w:rFonts w:hint="eastAsia" w:ascii="仿宋_GB2312" w:eastAsia="仿宋_GB2312" w:cs="Times New Roman"/>
          <w:color w:val="000000"/>
          <w:sz w:val="32"/>
          <w:szCs w:val="32"/>
          <w:highlight w:val="none"/>
          <w:shd w:val="clear" w:color="auto" w:fill="FFFFFF"/>
          <w:lang w:val="en-US" w:eastAsia="zh-CN"/>
        </w:rPr>
        <w:t>省级</w:t>
      </w:r>
      <w:r>
        <w:rPr>
          <w:rFonts w:hint="default" w:ascii="仿宋_GB2312" w:eastAsia="仿宋_GB2312" w:cs="Times New Roman"/>
          <w:color w:val="000000"/>
          <w:sz w:val="32"/>
          <w:szCs w:val="32"/>
          <w:highlight w:val="none"/>
          <w:shd w:val="clear" w:color="auto" w:fill="FFFFFF"/>
          <w:lang w:val="en-US" w:eastAsia="zh-CN"/>
        </w:rPr>
        <w:t>农村新能源开发利用</w:t>
      </w:r>
      <w:r>
        <w:rPr>
          <w:rFonts w:hint="eastAsia" w:ascii="仿宋_GB2312" w:eastAsia="仿宋_GB2312" w:cs="Times New Roman"/>
          <w:color w:val="000000"/>
          <w:sz w:val="32"/>
          <w:szCs w:val="32"/>
          <w:highlight w:val="none"/>
          <w:shd w:val="clear" w:color="auto" w:fill="FFFFFF"/>
          <w:lang w:val="en-US" w:eastAsia="zh-CN"/>
        </w:rPr>
        <w:t>（清洁用能多元利用）</w:t>
      </w:r>
      <w:r>
        <w:rPr>
          <w:rFonts w:hint="default" w:ascii="仿宋_GB2312" w:eastAsia="仿宋_GB2312" w:cs="Times New Roman"/>
          <w:color w:val="000000"/>
          <w:sz w:val="32"/>
          <w:szCs w:val="32"/>
          <w:highlight w:val="none"/>
          <w:shd w:val="clear" w:color="auto" w:fill="FFFFFF"/>
          <w:lang w:val="en-US" w:eastAsia="zh-CN"/>
        </w:rPr>
        <w:t>项目</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2.承担单位</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仿宋_GB2312" w:eastAsia="仿宋_GB2312" w:cs="Times New Roman"/>
          <w:color w:val="000000"/>
          <w:sz w:val="32"/>
          <w:szCs w:val="32"/>
          <w:highlight w:val="none"/>
          <w:shd w:val="clear" w:color="auto" w:fill="FFFFFF"/>
          <w:lang w:val="en-US" w:eastAsia="zh-CN"/>
        </w:rPr>
      </w:pPr>
      <w:r>
        <w:rPr>
          <w:rFonts w:hint="default" w:ascii="仿宋_GB2312" w:eastAsia="仿宋_GB2312" w:cs="Times New Roman"/>
          <w:color w:val="000000"/>
          <w:sz w:val="32"/>
          <w:szCs w:val="32"/>
          <w:highlight w:val="none"/>
          <w:shd w:val="clear" w:color="auto" w:fill="FFFFFF"/>
          <w:lang w:val="en-US" w:eastAsia="zh-CN"/>
        </w:rPr>
        <w:t>河北汉邦农业开发有限公司</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3.主管部门</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仿宋_GB2312" w:eastAsia="仿宋_GB2312" w:cs="Times New Roman"/>
          <w:color w:val="000000"/>
          <w:sz w:val="32"/>
          <w:szCs w:val="32"/>
          <w:highlight w:val="none"/>
          <w:shd w:val="clear" w:color="auto" w:fill="FFFFFF"/>
          <w:lang w:val="en-US" w:eastAsia="zh-CN"/>
        </w:rPr>
      </w:pPr>
      <w:r>
        <w:rPr>
          <w:rFonts w:hint="default" w:ascii="仿宋_GB2312" w:eastAsia="仿宋_GB2312" w:cs="Times New Roman"/>
          <w:color w:val="000000"/>
          <w:sz w:val="32"/>
          <w:szCs w:val="32"/>
          <w:highlight w:val="none"/>
          <w:shd w:val="clear" w:color="auto" w:fill="FFFFFF"/>
          <w:lang w:val="en-US" w:eastAsia="zh-CN"/>
        </w:rPr>
        <w:t>平山县新能源服务中心</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4.建设地点</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仿宋_GB2312" w:eastAsia="仿宋_GB2312" w:cs="Times New Roman"/>
          <w:color w:val="000000"/>
          <w:sz w:val="32"/>
          <w:szCs w:val="32"/>
          <w:highlight w:val="none"/>
          <w:shd w:val="clear" w:color="auto" w:fill="FFFFFF"/>
          <w:lang w:val="en-US" w:eastAsia="zh-CN"/>
        </w:rPr>
      </w:pPr>
      <w:r>
        <w:rPr>
          <w:rFonts w:hint="default" w:ascii="仿宋_GB2312" w:eastAsia="仿宋_GB2312" w:cs="Times New Roman"/>
          <w:color w:val="000000"/>
          <w:sz w:val="32"/>
          <w:szCs w:val="32"/>
          <w:highlight w:val="none"/>
          <w:shd w:val="clear" w:color="auto" w:fill="FFFFFF"/>
          <w:lang w:val="en-US" w:eastAsia="zh-CN"/>
        </w:rPr>
        <w:t>河北省石家庄市平山县北冶乡唐家会村</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5.建设时限</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2026年1月至 2026年12月</w:t>
      </w:r>
    </w:p>
    <w:p>
      <w:pPr>
        <w:pStyle w:val="4"/>
        <w:bidi w:val="0"/>
        <w:rPr>
          <w:rFonts w:hint="eastAsia" w:ascii="仿宋_GB2312" w:hAnsi="Times New Roman" w:eastAsia="黑体" w:cs="Times New Roman"/>
          <w:color w:val="000000"/>
          <w:szCs w:val="32"/>
          <w:highlight w:val="none"/>
          <w:shd w:val="clear" w:color="auto" w:fill="FFFFFF"/>
          <w:lang w:eastAsia="zh-CN"/>
        </w:rPr>
      </w:pPr>
      <w:bookmarkStart w:id="24" w:name="_Toc20297"/>
      <w:r>
        <w:rPr>
          <w:rFonts w:hint="eastAsia"/>
          <w:lang w:eastAsia="zh-CN"/>
        </w:rPr>
        <w:t>（二）</w:t>
      </w:r>
      <w:r>
        <w:rPr>
          <w:rFonts w:hint="eastAsia"/>
        </w:rPr>
        <w:t>项目承担单位</w:t>
      </w:r>
      <w:bookmarkEnd w:id="24"/>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项目承担单位为河北汉邦农业开发有限公司，正式成立于 2021 年 6 月，公司肉鸡养殖技术过硬，饲养流程规范，管理团队稳定，经营范围主要有：畜禽养殖；饲料销售；技术服务及信息咨询；目前公司养殖规模，北冶乡唐家会村肉鸡养殖基地存栏36万只。年出栏总量210万只，综合年产值6000万。养殖模式是饲养市场风险由上游合作上市企业禾丰集团承担，签订了长期保价格合同鸡合作方式，上游企业提供饲料，雏鸡，保健药品及技术指导，养殖基地只负责饲养。养殖成本固定，利润空间固定，保价的合作模式保证了养殖效益持续稳定发展。</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lang w:val="en-US" w:eastAsia="zh-CN"/>
        </w:rPr>
      </w:pPr>
      <w:r>
        <w:rPr>
          <w:rFonts w:hint="eastAsia" w:ascii="仿宋_GB2312" w:eastAsia="仿宋_GB2312" w:cs="Times New Roman"/>
          <w:color w:val="000000"/>
          <w:sz w:val="32"/>
          <w:szCs w:val="32"/>
          <w:highlight w:val="none"/>
          <w:shd w:val="clear" w:color="auto" w:fill="FFFFFF"/>
          <w:lang w:val="en-US" w:eastAsia="zh-CN"/>
        </w:rPr>
        <w:t>该示范项目的建设紧紧围绕着大气污染防治和美丽乡村建设总体目标，示范以太阳能+空气能供暖等清洁可再生能源高效利用的新模式，形成在平山县可复制推广的、节能环保与经济高效的清洁能源开发利用新模式，并在总结经验和提炼技术的基础上，推广研发技术示范成果，以期对全省的清洁能源的开发与利用起到积极的示范作用。</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项目负责人焦乾乾，为河北汉邦农业开发有限公司法定代表人，具有多年养殖行业的生产管理经验，同时不断摸索钻研，以及和业内专家的不断学习探讨，总结出了一套方案和技术。</w:t>
      </w:r>
    </w:p>
    <w:p>
      <w:pPr>
        <w:pStyle w:val="4"/>
        <w:bidi w:val="0"/>
        <w:rPr>
          <w:rFonts w:hint="eastAsia" w:ascii="仿宋_GB2312" w:hAnsi="Times New Roman" w:eastAsia="黑体" w:cs="Times New Roman"/>
          <w:color w:val="000000"/>
          <w:szCs w:val="32"/>
          <w:highlight w:val="none"/>
          <w:shd w:val="clear" w:color="auto" w:fill="FFFFFF"/>
          <w:lang w:eastAsia="zh-CN"/>
        </w:rPr>
      </w:pPr>
      <w:bookmarkStart w:id="25" w:name="_Toc27418"/>
      <w:r>
        <w:rPr>
          <w:rFonts w:hint="eastAsia"/>
          <w:lang w:eastAsia="zh-CN"/>
        </w:rPr>
        <w:t>（三）</w:t>
      </w:r>
      <w:r>
        <w:rPr>
          <w:rFonts w:hint="eastAsia"/>
        </w:rPr>
        <w:t>项目建设地地理位置、自然情况、资源情况、经济情况、人口情况</w:t>
      </w:r>
      <w:bookmarkEnd w:id="25"/>
    </w:p>
    <w:p>
      <w:pPr>
        <w:pStyle w:val="12"/>
        <w:ind w:firstLine="640" w:firstLineChars="200"/>
        <w:jc w:val="left"/>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河北汉邦农业开发有限公司位于河北省石家庄市平山县北冶乡唐家会村唐兴路口东行200米路南，项目地点距省会石家庄市30公里，距京深、石太高速公路25公里，距首都北京260公里，距石家庄机场50公里。地处冀晋交通要冲。项目区交通便利，四通八达。</w:t>
      </w:r>
    </w:p>
    <w:p>
      <w:pPr>
        <w:pStyle w:val="12"/>
        <w:jc w:val="center"/>
      </w:pPr>
      <w:r>
        <w:drawing>
          <wp:inline distT="0" distB="0" distL="114300" distR="114300">
            <wp:extent cx="4972685" cy="2442845"/>
            <wp:effectExtent l="0" t="0" r="5715" b="825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5"/>
                    <a:stretch>
                      <a:fillRect/>
                    </a:stretch>
                  </pic:blipFill>
                  <pic:spPr>
                    <a:xfrm>
                      <a:off x="0" y="0"/>
                      <a:ext cx="4972685" cy="2442845"/>
                    </a:xfrm>
                    <a:prstGeom prst="rect">
                      <a:avLst/>
                    </a:prstGeom>
                    <a:noFill/>
                    <a:ln>
                      <a:noFill/>
                    </a:ln>
                  </pic:spPr>
                </pic:pic>
              </a:graphicData>
            </a:graphic>
          </wp:inline>
        </w:drawing>
      </w:r>
    </w:p>
    <w:p>
      <w:pPr>
        <w:pStyle w:val="12"/>
        <w:jc w:val="center"/>
        <w:rPr>
          <w:rFonts w:hint="eastAsia"/>
          <w:lang w:val="en-US" w:eastAsia="zh-CN"/>
        </w:rPr>
      </w:pPr>
      <w:r>
        <w:rPr>
          <w:rFonts w:hint="eastAsia"/>
          <w:lang w:val="en-US" w:eastAsia="zh-CN"/>
        </w:rPr>
        <w:t>项目位置卫星图</w:t>
      </w:r>
    </w:p>
    <w:p>
      <w:pPr>
        <w:pStyle w:val="12"/>
        <w:ind w:firstLine="640" w:firstLineChars="200"/>
        <w:jc w:val="left"/>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平山县位于河北省西部、太行山东麓、滹沱河上游,距石家庄40公里，北京300公里东临鹿泉市，南接井陉县，北靠灵寿、阜平，西与山西省接壤。平山县地理位置为东经113°31’—114°51’，北纬38°9’—38°45’。平山地貌繁杂，地势包括了平原、丘陵、低山、中山，亚高山五个亚类，海拔由111米直升到2281米，高矮悬殊。</w:t>
      </w:r>
    </w:p>
    <w:p>
      <w:pPr>
        <w:pStyle w:val="12"/>
        <w:ind w:firstLine="640" w:firstLineChars="200"/>
        <w:jc w:val="left"/>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平山县境内干流滹沱河有西向东横贯全境，长达110公里，12条支流呈扇形分布，全县共有5平方公里以上河流79条。</w:t>
      </w:r>
    </w:p>
    <w:p>
      <w:pPr>
        <w:pStyle w:val="12"/>
        <w:ind w:firstLine="640" w:firstLineChars="200"/>
        <w:jc w:val="left"/>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全县面积26.48万公顷，其中耕地3.06万公顷、宜林牧地18.06万公顷、水域3.07万公顷。土壤类型多样，有4个土类、11个亚类、37个土属、87个土种。亚高山草甸土主要颁在海拔1900米以上的南驼山脊地带，占全县面积的0.1%，棕壤主要分布在1000~1300米的西北部深山区，面积约占8.1%；褐土主要分布在800米以下的低山丘陵岗地，约占88.8%，草甸土分布在200米左右的河流阶地，约占3%。</w:t>
      </w:r>
    </w:p>
    <w:p>
      <w:pPr>
        <w:pStyle w:val="12"/>
        <w:ind w:firstLine="640" w:firstLineChars="200"/>
        <w:jc w:val="left"/>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平山县是一个有着光荣历史传统的革命老区，土地总面积2648平方公里，辖23个乡镇717个行政村，46万人，其中，农业人口433447人，非农业人口34396人。全年人口出生率7 .38‰，自然增长率1.82‰；男女比例106.87%，城镇与乡村人口比例5%；有汉、满、壮、回、白、苗、蒙、藏、景颇、朝鲜等17个民族，汉族人口占99.97%。</w:t>
      </w:r>
    </w:p>
    <w:p>
      <w:pPr>
        <w:pStyle w:val="12"/>
        <w:ind w:firstLine="640" w:firstLineChars="200"/>
        <w:jc w:val="left"/>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 xml:space="preserve">该项目为建设单位原有土地，不在法律法规规定的禁养区内，不涉及土地征用与租用问题。 </w:t>
      </w:r>
    </w:p>
    <w:p>
      <w:pPr>
        <w:pStyle w:val="12"/>
        <w:ind w:firstLine="640" w:firstLineChars="200"/>
        <w:jc w:val="left"/>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项目建设单位已按照肉鸡标准化规模养殖场的建设标准要求进行建设规划，符合生产、防疫和排污、环保要求。</w:t>
      </w:r>
    </w:p>
    <w:p>
      <w:pPr>
        <w:pStyle w:val="12"/>
        <w:ind w:firstLine="640" w:firstLineChars="200"/>
        <w:jc w:val="left"/>
        <w:rPr>
          <w:rFonts w:hint="eastAsia" w:ascii="仿宋_GB2312" w:hAnsi="微软雅黑" w:eastAsia="仿宋_GB2312" w:cs="仿宋_GB2312"/>
          <w:color w:val="auto"/>
          <w:kern w:val="0"/>
          <w:sz w:val="32"/>
          <w:szCs w:val="32"/>
          <w:highlight w:val="none"/>
          <w:shd w:val="clear" w:color="auto" w:fill="FFFFFF"/>
        </w:rPr>
      </w:pPr>
      <w:r>
        <w:rPr>
          <w:rFonts w:hint="eastAsia" w:ascii="仿宋_GB2312" w:eastAsia="仿宋_GB2312" w:cs="Times New Roman"/>
          <w:color w:val="000000"/>
          <w:sz w:val="32"/>
          <w:szCs w:val="32"/>
          <w:highlight w:val="none"/>
          <w:shd w:val="clear" w:color="auto" w:fill="FFFFFF"/>
          <w:lang w:val="en-US" w:eastAsia="zh-CN"/>
        </w:rPr>
        <w:t>建设项目符合当地乡镇土地利用总体规划要求，同时也符合当地市畜牧产业布局要求。</w:t>
      </w:r>
    </w:p>
    <w:p>
      <w:pPr>
        <w:pStyle w:val="3"/>
        <w:bidi w:val="0"/>
        <w:jc w:val="both"/>
        <w:rPr>
          <w:sz w:val="36"/>
          <w:szCs w:val="36"/>
        </w:rPr>
      </w:pPr>
      <w:bookmarkStart w:id="26" w:name="_Toc13277"/>
      <w:bookmarkStart w:id="27" w:name="_Toc2317"/>
      <w:bookmarkStart w:id="28" w:name="_Toc29072"/>
      <w:bookmarkStart w:id="29" w:name="_Toc8403"/>
      <w:bookmarkStart w:id="30" w:name="_Toc933"/>
      <w:bookmarkStart w:id="31" w:name="_Toc2885"/>
      <w:bookmarkStart w:id="32" w:name="_Toc24877"/>
      <w:r>
        <w:rPr>
          <w:rFonts w:hint="eastAsia"/>
          <w:sz w:val="36"/>
          <w:szCs w:val="36"/>
          <w:lang w:eastAsia="zh-CN"/>
        </w:rPr>
        <w:t>三</w:t>
      </w:r>
      <w:r>
        <w:rPr>
          <w:sz w:val="36"/>
          <w:szCs w:val="36"/>
        </w:rPr>
        <w:t>、</w:t>
      </w:r>
      <w:bookmarkEnd w:id="26"/>
      <w:bookmarkEnd w:id="27"/>
      <w:bookmarkEnd w:id="28"/>
      <w:bookmarkEnd w:id="29"/>
      <w:bookmarkEnd w:id="30"/>
      <w:bookmarkEnd w:id="31"/>
      <w:r>
        <w:rPr>
          <w:rFonts w:hint="eastAsia"/>
          <w:sz w:val="36"/>
          <w:szCs w:val="36"/>
          <w:lang w:eastAsia="zh-CN"/>
        </w:rPr>
        <w:t>项目实施内容</w:t>
      </w:r>
      <w:bookmarkEnd w:id="32"/>
    </w:p>
    <w:p>
      <w:pPr>
        <w:pStyle w:val="4"/>
        <w:bidi w:val="0"/>
        <w:rPr>
          <w:rFonts w:hint="eastAsia" w:ascii="仿宋_GB2312" w:hAnsi="Times New Roman" w:eastAsia="仿宋_GB2312" w:cs="Times New Roman"/>
          <w:color w:val="000000"/>
          <w:kern w:val="2"/>
          <w:sz w:val="32"/>
          <w:szCs w:val="32"/>
          <w:highlight w:val="none"/>
          <w:shd w:val="clear" w:color="auto" w:fill="FFFFFF"/>
          <w:lang w:val="en-US" w:eastAsia="zh-CN" w:bidi="ar-SA"/>
        </w:rPr>
      </w:pPr>
      <w:bookmarkStart w:id="33" w:name="_Toc4941"/>
      <w:r>
        <w:rPr>
          <w:rFonts w:hint="eastAsia"/>
          <w:lang w:eastAsia="zh-CN"/>
        </w:rPr>
        <w:t>（一）建设目标</w:t>
      </w:r>
      <w:bookmarkEnd w:id="33"/>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建设目标：本项目总体目标是使河北汉邦农业开发有限公司肉鸡养殖基地能源结构发生彻底的转变，创新用能模式，降低用能成本，采用通过“太阳能+空气能”设施为养殖业供暖，充分利用可再生资源，替代燃煤，减排二氧化碳、二氧化硫。</w:t>
      </w:r>
    </w:p>
    <w:p>
      <w:pPr>
        <w:pStyle w:val="4"/>
        <w:bidi w:val="0"/>
        <w:rPr>
          <w:rFonts w:ascii="仿宋_GB2312" w:hAnsi="Times New Roman" w:eastAsia="仿宋_GB2312" w:cs="Times New Roman"/>
          <w:color w:val="000000"/>
          <w:szCs w:val="32"/>
          <w:highlight w:val="none"/>
          <w:shd w:val="clear" w:color="auto" w:fill="FFFFFF"/>
        </w:rPr>
      </w:pPr>
      <w:bookmarkStart w:id="34" w:name="_Toc11538"/>
      <w:r>
        <w:rPr>
          <w:rFonts w:hint="eastAsia"/>
          <w:lang w:eastAsia="zh-CN"/>
        </w:rPr>
        <w:t>（二）设计依据</w:t>
      </w:r>
      <w:bookmarkEnd w:id="34"/>
    </w:p>
    <w:p>
      <w:pPr>
        <w:autoSpaceDE w:val="0"/>
        <w:autoSpaceDN w:val="0"/>
        <w:adjustRightInd w:val="0"/>
        <w:spacing w:line="360" w:lineRule="auto"/>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1.河北省农业农村厅关于印发《2026年中央和省级财政提前下达农业转移支付项目实施方案》的通知冀农财发〔2026〕1号；</w:t>
      </w:r>
    </w:p>
    <w:p>
      <w:pPr>
        <w:autoSpaceDE w:val="0"/>
        <w:autoSpaceDN w:val="0"/>
        <w:adjustRightInd w:val="0"/>
        <w:spacing w:line="360" w:lineRule="auto"/>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2.《城镇供热管网设计标准》CJJ/T34－2022</w:t>
      </w:r>
    </w:p>
    <w:p>
      <w:pPr>
        <w:autoSpaceDE w:val="0"/>
        <w:autoSpaceDN w:val="0"/>
        <w:adjustRightInd w:val="0"/>
        <w:spacing w:line="360" w:lineRule="auto"/>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3.《供热工程项目规范》GB55010-2021</w:t>
      </w:r>
    </w:p>
    <w:p>
      <w:pPr>
        <w:autoSpaceDE w:val="0"/>
        <w:autoSpaceDN w:val="0"/>
        <w:adjustRightInd w:val="0"/>
        <w:spacing w:line="360" w:lineRule="auto"/>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4.《城镇供热直埋热水管道工程技术规程》CJJ/T81-2013</w:t>
      </w:r>
    </w:p>
    <w:p>
      <w:pPr>
        <w:autoSpaceDE w:val="0"/>
        <w:autoSpaceDN w:val="0"/>
        <w:adjustRightInd w:val="0"/>
        <w:spacing w:line="360" w:lineRule="auto"/>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5.《城镇供热管网工程施工及验收规范》CJJ28-2014</w:t>
      </w:r>
    </w:p>
    <w:p>
      <w:pPr>
        <w:autoSpaceDE w:val="0"/>
        <w:autoSpaceDN w:val="0"/>
        <w:adjustRightInd w:val="0"/>
        <w:spacing w:line="360" w:lineRule="auto"/>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6.《民用建筑采暖通风与空气调节设计规范》GB50736-2012</w:t>
      </w:r>
    </w:p>
    <w:p>
      <w:pPr>
        <w:autoSpaceDE w:val="0"/>
        <w:autoSpaceDN w:val="0"/>
        <w:adjustRightInd w:val="0"/>
        <w:spacing w:line="360" w:lineRule="auto"/>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7.《工业建筑采暖通风与空气调节设计规范》GB50019-2015</w:t>
      </w:r>
    </w:p>
    <w:p>
      <w:pPr>
        <w:autoSpaceDE w:val="0"/>
        <w:autoSpaceDN w:val="0"/>
        <w:adjustRightInd w:val="0"/>
        <w:spacing w:line="360" w:lineRule="auto"/>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8.《河北省公共建筑节能设计标准》DB13（J）81-2016</w:t>
      </w:r>
    </w:p>
    <w:p>
      <w:pPr>
        <w:autoSpaceDE w:val="0"/>
        <w:autoSpaceDN w:val="0"/>
        <w:adjustRightInd w:val="0"/>
        <w:spacing w:line="360" w:lineRule="auto"/>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9.《河北省居住建筑节能设计标准》 DB13（J）185-2015</w:t>
      </w:r>
    </w:p>
    <w:p>
      <w:pPr>
        <w:autoSpaceDE w:val="0"/>
        <w:autoSpaceDN w:val="0"/>
        <w:adjustRightInd w:val="0"/>
        <w:spacing w:line="360" w:lineRule="auto"/>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10.《供配电系统设计规范》(GB50052-2009)</w:t>
      </w:r>
    </w:p>
    <w:p>
      <w:pPr>
        <w:pStyle w:val="4"/>
        <w:bidi w:val="0"/>
        <w:rPr>
          <w:rFonts w:ascii="仿宋_GB2312" w:hAnsi="Times New Roman" w:eastAsia="仿宋_GB2312" w:cs="Times New Roman"/>
          <w:color w:val="000000"/>
          <w:szCs w:val="32"/>
          <w:highlight w:val="none"/>
          <w:shd w:val="clear" w:color="auto" w:fill="FFFFFF"/>
        </w:rPr>
      </w:pPr>
      <w:bookmarkStart w:id="35" w:name="_Toc18378"/>
      <w:r>
        <w:rPr>
          <w:rFonts w:hint="eastAsia"/>
          <w:lang w:eastAsia="zh-CN"/>
        </w:rPr>
        <w:t>（三）建设内容</w:t>
      </w:r>
      <w:bookmarkEnd w:id="35"/>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通过本项目的实施，使用财政资金105万元，企业自筹资金106.5万元，合计211.5万元用于采购安装太阳能集热器+空气源热泵系统等相关设施设备，解决项目内所有室内取暖问题，实现清洁能源替代。采暖问题，从而能实现采暖用能清洁化、替代原有燃煤锅炉降低有害物质排放，同时能大力促进企业的发展。</w:t>
      </w:r>
    </w:p>
    <w:p>
      <w:pPr>
        <w:spacing w:line="360" w:lineRule="auto"/>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项目技术路径模式：</w:t>
      </w:r>
    </w:p>
    <w:p>
      <w:pPr>
        <w:adjustRightInd w:val="0"/>
        <w:spacing w:line="360" w:lineRule="auto"/>
        <w:ind w:firstLine="640" w:firstLineChars="200"/>
        <w:textAlignment w:val="baseline"/>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本项目拟采用“太阳能集热器+空气源热泵”的热源供暖系统形式。该系统主要有太阳能集热器、空气源热泵采暖机、</w:t>
      </w:r>
      <w:r>
        <w:rPr>
          <w:rFonts w:hint="eastAsia" w:ascii="仿宋_GB2312" w:eastAsia="仿宋_GB2312" w:cs="Times New Roman"/>
          <w:color w:val="000000"/>
          <w:sz w:val="32"/>
          <w:szCs w:val="32"/>
          <w:shd w:val="clear" w:color="auto" w:fill="FFFFFF"/>
          <w:lang w:val="en-US" w:eastAsia="zh-CN"/>
          <w14:ligatures w14:val="none"/>
        </w:rPr>
        <w:t>储热</w:t>
      </w:r>
      <w:r>
        <w:rPr>
          <w:rFonts w:hint="eastAsia" w:ascii="仿宋_GB2312" w:hAnsi="Times New Roman" w:eastAsia="仿宋_GB2312" w:cs="Times New Roman"/>
          <w:color w:val="000000"/>
          <w:sz w:val="32"/>
          <w:szCs w:val="32"/>
          <w:shd w:val="clear" w:color="auto" w:fill="FFFFFF"/>
          <w14:ligatures w14:val="none"/>
        </w:rPr>
        <w:t>水箱、循环泵及供回水管路、控制系统组成。</w:t>
      </w:r>
    </w:p>
    <w:p>
      <w:pPr>
        <w:spacing w:line="360" w:lineRule="auto"/>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白天通过太阳能集热器收集的热量储存到储热水箱，优先利用太阳能供暖，当太阳能热量不足时，启动空气源热泵机组辅助供热，满足供暖需求。</w:t>
      </w:r>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ascii="仿宋_GB2312" w:eastAsia="仿宋_GB2312"/>
          <w:color w:val="000000"/>
          <w:sz w:val="32"/>
          <w:szCs w:val="32"/>
          <w:shd w:val="clear" w:color="auto" w:fill="FFFFFF"/>
        </w:rPr>
      </w:pPr>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ascii="仿宋_GB2312" w:eastAsia="仿宋_GB2312"/>
          <w:color w:val="000000"/>
          <w:sz w:val="32"/>
          <w:szCs w:val="32"/>
          <w:shd w:val="clear" w:color="auto" w:fill="FFFFFF"/>
        </w:rPr>
      </w:pPr>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ascii="仿宋_GB2312" w:eastAsia="仿宋_GB2312"/>
          <w:color w:val="000000"/>
          <w:sz w:val="32"/>
          <w:szCs w:val="32"/>
          <w:shd w:val="clear" w:color="auto" w:fill="FFFFFF"/>
        </w:rPr>
      </w:pPr>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ascii="仿宋_GB2312" w:eastAsia="仿宋_GB2312"/>
          <w:color w:val="000000"/>
          <w:sz w:val="32"/>
          <w:szCs w:val="32"/>
          <w:shd w:val="clear" w:color="auto" w:fill="FFFFFF"/>
        </w:rPr>
      </w:pPr>
    </w:p>
    <w:p>
      <w:pPr>
        <w:pStyle w:val="12"/>
        <w:keepNext w:val="0"/>
        <w:keepLines w:val="0"/>
        <w:pageBreakBefore w:val="0"/>
        <w:widowControl w:val="0"/>
        <w:kinsoku/>
        <w:wordWrap/>
        <w:overflowPunct/>
        <w:topLinePunct w:val="0"/>
        <w:bidi w:val="0"/>
        <w:snapToGrid/>
        <w:spacing w:line="360" w:lineRule="auto"/>
        <w:ind w:firstLine="420" w:firstLineChars="200"/>
        <w:jc w:val="left"/>
        <w:textAlignment w:val="auto"/>
        <w:rPr>
          <w:rFonts w:ascii="仿宋_GB2312" w:eastAsia="仿宋_GB2312"/>
          <w:color w:val="000000"/>
          <w:sz w:val="32"/>
          <w:szCs w:val="32"/>
          <w:shd w:val="clear" w:color="auto" w:fill="FFFFFF"/>
        </w:rPr>
      </w:pPr>
      <w:r>
        <w:drawing>
          <wp:inline distT="0" distB="0" distL="0" distR="0">
            <wp:extent cx="5455920" cy="8509000"/>
            <wp:effectExtent l="0" t="0" r="0" b="635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6" cstate="print"/>
                    <a:srcRect l="17184" t="1209" r="-1262"/>
                    <a:stretch>
                      <a:fillRect/>
                    </a:stretch>
                  </pic:blipFill>
                  <pic:spPr>
                    <a:xfrm>
                      <a:off x="1000" y="1000"/>
                      <a:ext cx="5455920" cy="8509000"/>
                    </a:xfrm>
                    <a:prstGeom prst="rect">
                      <a:avLst/>
                    </a:prstGeom>
                  </pic:spPr>
                </pic:pic>
              </a:graphicData>
            </a:graphic>
          </wp:inline>
        </w:drawing>
      </w:r>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ascii="仿宋_GB2312" w:eastAsia="仿宋_GB2312"/>
          <w:color w:val="000000"/>
          <w:sz w:val="32"/>
          <w:szCs w:val="32"/>
          <w:shd w:val="clear" w:color="auto" w:fill="FFFFFF"/>
        </w:rPr>
      </w:pPr>
    </w:p>
    <w:p>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jc w:val="both"/>
        <w:textAlignment w:val="auto"/>
        <w:rPr>
          <w:rFonts w:hint="eastAsia" w:ascii="仿宋_GB2312" w:hAnsi="仿宋_GB2312" w:eastAsia="仿宋_GB2312" w:cs="仿宋_GB2312"/>
          <w:sz w:val="32"/>
          <w:szCs w:val="24"/>
          <w:lang w:val="en-US" w:eastAsia="zh-CN" w:bidi="ar-SA"/>
        </w:rPr>
      </w:pPr>
      <w:r>
        <w:rPr>
          <w:rFonts w:hint="eastAsia" w:ascii="仿宋_GB2312" w:hAnsi="仿宋_GB2312" w:eastAsia="仿宋_GB2312" w:cs="仿宋_GB2312"/>
          <w:sz w:val="32"/>
          <w:szCs w:val="24"/>
          <w:lang w:val="en-US" w:eastAsia="zh-CN" w:bidi="ar-SA"/>
        </w:rPr>
        <w:t>供暖、供热水设计参数：</w:t>
      </w:r>
    </w:p>
    <w:p>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jc w:val="both"/>
        <w:textAlignment w:val="auto"/>
        <w:rPr>
          <w:rFonts w:hint="eastAsia" w:ascii="仿宋_GB2312" w:hAnsi="仿宋_GB2312" w:eastAsia="仿宋_GB2312" w:cs="仿宋_GB2312"/>
          <w:sz w:val="32"/>
          <w:szCs w:val="24"/>
          <w:lang w:val="en-US" w:eastAsia="zh-CN" w:bidi="ar-SA"/>
        </w:rPr>
      </w:pPr>
      <w:r>
        <w:rPr>
          <w:rFonts w:hint="eastAsia" w:ascii="仿宋_GB2312" w:hAnsi="仿宋_GB2312" w:eastAsia="仿宋_GB2312" w:cs="仿宋_GB2312"/>
          <w:sz w:val="32"/>
          <w:szCs w:val="24"/>
          <w:lang w:val="en-US" w:eastAsia="zh-CN" w:bidi="ar-SA"/>
        </w:rPr>
        <w:t>（1）年平均温度：13.4℃</w:t>
      </w:r>
    </w:p>
    <w:p>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jc w:val="both"/>
        <w:textAlignment w:val="auto"/>
        <w:rPr>
          <w:rFonts w:hint="eastAsia" w:ascii="仿宋_GB2312" w:hAnsi="仿宋_GB2312" w:eastAsia="仿宋_GB2312" w:cs="仿宋_GB2312"/>
          <w:sz w:val="32"/>
          <w:szCs w:val="24"/>
          <w:lang w:val="en-US" w:eastAsia="zh-CN" w:bidi="ar-SA"/>
        </w:rPr>
      </w:pPr>
      <w:r>
        <w:rPr>
          <w:rFonts w:hint="eastAsia" w:ascii="仿宋_GB2312" w:hAnsi="仿宋_GB2312" w:eastAsia="仿宋_GB2312" w:cs="仿宋_GB2312"/>
          <w:sz w:val="32"/>
          <w:szCs w:val="24"/>
          <w:lang w:val="en-US" w:eastAsia="zh-CN" w:bidi="ar-SA"/>
        </w:rPr>
        <w:t>（2）供暖计算温度:-6.2℃（参考《GB50736-2012民用建筑供暖通风与空气调节设计规范》）</w:t>
      </w:r>
    </w:p>
    <w:p>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jc w:val="both"/>
        <w:textAlignment w:val="auto"/>
        <w:rPr>
          <w:rFonts w:hint="eastAsia" w:ascii="仿宋_GB2312" w:hAnsi="仿宋_GB2312" w:eastAsia="仿宋_GB2312" w:cs="仿宋_GB2312"/>
          <w:sz w:val="32"/>
          <w:szCs w:val="24"/>
          <w:lang w:val="en-US" w:eastAsia="zh-CN" w:bidi="ar-SA"/>
        </w:rPr>
      </w:pPr>
      <w:r>
        <w:rPr>
          <w:rFonts w:hint="eastAsia" w:ascii="仿宋_GB2312" w:hAnsi="仿宋_GB2312" w:eastAsia="仿宋_GB2312" w:cs="仿宋_GB2312"/>
          <w:sz w:val="32"/>
          <w:szCs w:val="24"/>
          <w:lang w:val="en-US" w:eastAsia="zh-CN" w:bidi="ar-SA"/>
        </w:rPr>
        <w:t>（3）极端最高温：40℃</w:t>
      </w:r>
    </w:p>
    <w:p>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jc w:val="both"/>
        <w:textAlignment w:val="auto"/>
        <w:rPr>
          <w:rFonts w:hint="eastAsia" w:ascii="仿宋_GB2312" w:hAnsi="仿宋_GB2312" w:eastAsia="仿宋_GB2312" w:cs="仿宋_GB2312"/>
          <w:sz w:val="32"/>
          <w:szCs w:val="24"/>
          <w:lang w:val="en-US" w:eastAsia="zh-CN" w:bidi="ar-SA"/>
        </w:rPr>
      </w:pPr>
      <w:r>
        <w:rPr>
          <w:rFonts w:hint="eastAsia" w:ascii="仿宋_GB2312" w:hAnsi="仿宋_GB2312" w:eastAsia="仿宋_GB2312" w:cs="仿宋_GB2312"/>
          <w:sz w:val="32"/>
          <w:szCs w:val="24"/>
          <w:lang w:val="en-US" w:eastAsia="zh-CN" w:bidi="ar-SA"/>
        </w:rPr>
        <w:t>（4）极端最低温:-15℃</w:t>
      </w:r>
    </w:p>
    <w:p>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jc w:val="both"/>
        <w:textAlignment w:val="auto"/>
        <w:rPr>
          <w:rFonts w:hint="eastAsia" w:ascii="仿宋_GB2312" w:hAnsi="仿宋_GB2312" w:eastAsia="仿宋_GB2312" w:cs="仿宋_GB2312"/>
          <w:sz w:val="32"/>
          <w:szCs w:val="24"/>
          <w:lang w:val="en-US" w:eastAsia="zh-CN" w:bidi="ar-SA"/>
        </w:rPr>
      </w:pPr>
      <w:r>
        <w:rPr>
          <w:rFonts w:hint="eastAsia" w:ascii="仿宋_GB2312" w:hAnsi="仿宋_GB2312" w:eastAsia="仿宋_GB2312" w:cs="仿宋_GB2312"/>
          <w:sz w:val="32"/>
          <w:szCs w:val="24"/>
          <w:lang w:val="en-US" w:eastAsia="zh-CN" w:bidi="ar-SA"/>
        </w:rPr>
        <w:t>（5）室内设计温度：30℃以上</w:t>
      </w:r>
    </w:p>
    <w:p>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jc w:val="both"/>
        <w:textAlignment w:val="auto"/>
        <w:rPr>
          <w:rFonts w:hint="eastAsia" w:ascii="仿宋_GB2312" w:hAnsi="仿宋_GB2312" w:eastAsia="仿宋_GB2312" w:cs="仿宋_GB2312"/>
          <w:sz w:val="32"/>
          <w:szCs w:val="24"/>
          <w:lang w:val="en-US" w:eastAsia="zh-CN" w:bidi="ar-SA"/>
        </w:rPr>
      </w:pPr>
      <w:r>
        <w:rPr>
          <w:rFonts w:hint="eastAsia" w:ascii="仿宋_GB2312" w:hAnsi="仿宋_GB2312" w:eastAsia="仿宋_GB2312" w:cs="仿宋_GB2312"/>
          <w:sz w:val="32"/>
          <w:szCs w:val="24"/>
          <w:lang w:val="en-US" w:eastAsia="zh-CN" w:bidi="ar-SA"/>
        </w:rPr>
        <w:t>（6）建筑热负荷：120W/㎡</w:t>
      </w:r>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hint="eastAsia" w:ascii="仿宋_GB2312" w:eastAsia="仿宋_GB2312"/>
          <w:color w:val="000000"/>
          <w:sz w:val="32"/>
          <w:szCs w:val="32"/>
          <w:shd w:val="clear" w:color="auto" w:fill="FFFFFF"/>
          <w:lang w:val="en-US" w:eastAsia="zh-CN"/>
        </w:rPr>
      </w:pPr>
      <w:r>
        <w:rPr>
          <w:rFonts w:hint="eastAsia" w:ascii="仿宋_GB2312" w:eastAsia="仿宋_GB2312"/>
          <w:color w:val="000000"/>
          <w:sz w:val="32"/>
          <w:szCs w:val="32"/>
          <w:shd w:val="clear" w:color="auto" w:fill="FFFFFF"/>
          <w:lang w:val="en-US" w:eastAsia="zh-CN"/>
        </w:rPr>
        <w:t>设计方案</w:t>
      </w:r>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hint="eastAsia" w:ascii="仿宋_GB2312" w:eastAsia="仿宋_GB2312"/>
          <w:color w:val="000000"/>
          <w:sz w:val="32"/>
          <w:szCs w:val="32"/>
          <w:shd w:val="clear" w:color="auto" w:fill="FFFFFF"/>
          <w:lang w:val="en-US" w:eastAsia="zh-CN"/>
        </w:rPr>
      </w:pPr>
      <w:r>
        <w:rPr>
          <w:rFonts w:hint="eastAsia" w:ascii="仿宋_GB2312" w:eastAsia="仿宋_GB2312"/>
          <w:color w:val="000000"/>
          <w:sz w:val="32"/>
          <w:szCs w:val="32"/>
          <w:shd w:val="clear" w:color="auto" w:fill="FFFFFF"/>
          <w:lang w:val="en-US" w:eastAsia="zh-CN"/>
        </w:rPr>
        <w:t>根据采暖热指标计算的热负荷为最大设计热负荷，最大热负荷按下列公式计算：</w:t>
      </w:r>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hint="eastAsia" w:ascii="仿宋_GB2312" w:eastAsia="仿宋_GB2312"/>
          <w:color w:val="000000"/>
          <w:sz w:val="32"/>
          <w:szCs w:val="32"/>
          <w:shd w:val="clear" w:color="auto" w:fill="FFFFFF"/>
          <w:lang w:val="en-US" w:eastAsia="zh-CN"/>
        </w:rPr>
      </w:pPr>
      <w:r>
        <w:rPr>
          <w:rFonts w:hint="eastAsia" w:ascii="仿宋_GB2312" w:eastAsia="仿宋_GB2312"/>
          <w:color w:val="000000"/>
          <w:sz w:val="32"/>
          <w:szCs w:val="32"/>
          <w:shd w:val="clear" w:color="auto" w:fill="FFFFFF"/>
          <w:lang w:val="en-US" w:eastAsia="zh-CN"/>
        </w:rPr>
        <w:t>Qmax＝q×A×10-3</w:t>
      </w:r>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hint="eastAsia" w:ascii="仿宋_GB2312" w:eastAsia="仿宋_GB2312"/>
          <w:color w:val="000000"/>
          <w:sz w:val="32"/>
          <w:szCs w:val="32"/>
          <w:shd w:val="clear" w:color="auto" w:fill="FFFFFF"/>
          <w:lang w:val="en-US" w:eastAsia="zh-CN"/>
        </w:rPr>
      </w:pPr>
      <w:r>
        <w:rPr>
          <w:rFonts w:hint="eastAsia" w:ascii="仿宋_GB2312" w:eastAsia="仿宋_GB2312"/>
          <w:color w:val="000000"/>
          <w:sz w:val="32"/>
          <w:szCs w:val="32"/>
          <w:shd w:val="clear" w:color="auto" w:fill="FFFFFF"/>
          <w:lang w:val="en-US" w:eastAsia="zh-CN"/>
        </w:rPr>
        <w:t>式中：Qmax－采暖期最大设计热负荷，KW；</w:t>
      </w:r>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hint="eastAsia" w:ascii="仿宋_GB2312" w:eastAsia="仿宋_GB2312"/>
          <w:color w:val="000000"/>
          <w:sz w:val="32"/>
          <w:szCs w:val="32"/>
          <w:shd w:val="clear" w:color="auto" w:fill="FFFFFF"/>
          <w:lang w:val="en-US" w:eastAsia="zh-CN"/>
        </w:rPr>
      </w:pPr>
      <w:r>
        <w:rPr>
          <w:rFonts w:hint="eastAsia" w:ascii="仿宋_GB2312" w:eastAsia="仿宋_GB2312"/>
          <w:color w:val="000000"/>
          <w:sz w:val="32"/>
          <w:szCs w:val="32"/>
          <w:shd w:val="clear" w:color="auto" w:fill="FFFFFF"/>
          <w:lang w:val="en-US" w:eastAsia="zh-CN"/>
        </w:rPr>
        <w:t>　　　q－采暖热指标，综合热指标，W/㎡；</w:t>
      </w:r>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hint="eastAsia" w:ascii="仿宋_GB2312" w:eastAsia="仿宋_GB2312"/>
          <w:color w:val="000000"/>
          <w:sz w:val="32"/>
          <w:szCs w:val="32"/>
          <w:shd w:val="clear" w:color="auto" w:fill="FFFFFF"/>
          <w:lang w:val="en-US" w:eastAsia="zh-CN"/>
        </w:rPr>
      </w:pPr>
      <w:r>
        <w:rPr>
          <w:rFonts w:hint="eastAsia" w:ascii="仿宋_GB2312" w:eastAsia="仿宋_GB2312"/>
          <w:color w:val="000000"/>
          <w:sz w:val="32"/>
          <w:szCs w:val="32"/>
          <w:shd w:val="clear" w:color="auto" w:fill="FFFFFF"/>
          <w:lang w:val="en-US" w:eastAsia="zh-CN"/>
        </w:rPr>
        <w:t xml:space="preserve">      A－采暖建筑物的建筑面积，㎡。</w:t>
      </w:r>
    </w:p>
    <w:p>
      <w:pPr>
        <w:pStyle w:val="12"/>
        <w:keepNext w:val="0"/>
        <w:keepLines w:val="0"/>
        <w:pageBreakBefore w:val="0"/>
        <w:widowControl w:val="0"/>
        <w:kinsoku/>
        <w:wordWrap/>
        <w:overflowPunct/>
        <w:topLinePunct w:val="0"/>
        <w:bidi w:val="0"/>
        <w:snapToGrid/>
        <w:spacing w:line="360" w:lineRule="auto"/>
        <w:ind w:firstLine="640" w:firstLineChars="200"/>
        <w:jc w:val="both"/>
        <w:textAlignment w:val="auto"/>
        <w:rPr>
          <w:rFonts w:hint="eastAsia" w:ascii="仿宋_GB2312" w:hAnsi="仿宋_GB2312" w:eastAsia="仿宋_GB2312" w:cs="仿宋_GB2312"/>
          <w:sz w:val="32"/>
          <w:szCs w:val="24"/>
          <w:lang w:eastAsia="zh-CN"/>
        </w:rPr>
      </w:pPr>
      <w:r>
        <w:rPr>
          <w:rFonts w:hint="eastAsia" w:ascii="仿宋_GB2312" w:hAnsi="仿宋_GB2312" w:eastAsia="仿宋_GB2312" w:cs="仿宋_GB2312"/>
          <w:sz w:val="32"/>
          <w:szCs w:val="24"/>
        </w:rPr>
        <w:t>系统</w:t>
      </w:r>
      <w:r>
        <w:rPr>
          <w:rFonts w:hint="eastAsia" w:ascii="仿宋_GB2312" w:hAnsi="仿宋_GB2312" w:eastAsia="仿宋_GB2312" w:cs="仿宋_GB2312"/>
          <w:sz w:val="32"/>
          <w:szCs w:val="24"/>
          <w:lang w:eastAsia="zh-CN"/>
        </w:rPr>
        <w:t>总供暖热负荷</w:t>
      </w:r>
    </w:p>
    <w:p>
      <w:pPr>
        <w:pStyle w:val="6"/>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42"/>
        <w:gridCol w:w="1642"/>
        <w:gridCol w:w="2054"/>
        <w:gridCol w:w="22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2342" w:type="dxa"/>
            <w:noWrap w:val="0"/>
            <w:vAlign w:val="top"/>
          </w:tcPr>
          <w:p>
            <w:pPr>
              <w:spacing w:line="440" w:lineRule="exact"/>
              <w:ind w:firstLine="562" w:firstLineChars="200"/>
              <w:rPr>
                <w:rFonts w:ascii="宋体" w:hAnsi="宋体" w:cs="Arial"/>
                <w:b/>
                <w:bCs/>
                <w:snapToGrid w:val="0"/>
                <w:color w:val="000000"/>
                <w:kern w:val="0"/>
                <w:sz w:val="28"/>
                <w:szCs w:val="28"/>
              </w:rPr>
            </w:pPr>
            <w:r>
              <w:rPr>
                <w:rFonts w:hint="eastAsia" w:ascii="宋体" w:hAnsi="宋体" w:cs="Arial"/>
                <w:b/>
                <w:bCs/>
                <w:snapToGrid w:val="0"/>
                <w:color w:val="000000"/>
                <w:kern w:val="0"/>
                <w:sz w:val="28"/>
                <w:szCs w:val="28"/>
              </w:rPr>
              <w:t>项目</w:t>
            </w:r>
          </w:p>
        </w:tc>
        <w:tc>
          <w:tcPr>
            <w:tcW w:w="1642" w:type="dxa"/>
            <w:noWrap w:val="0"/>
            <w:vAlign w:val="top"/>
          </w:tcPr>
          <w:p>
            <w:pPr>
              <w:spacing w:line="440" w:lineRule="exact"/>
              <w:ind w:left="0" w:leftChars="0" w:firstLine="0" w:firstLineChars="0"/>
              <w:rPr>
                <w:rFonts w:hint="eastAsia" w:ascii="宋体" w:hAnsi="宋体" w:eastAsia="宋体" w:cs="Arial"/>
                <w:b/>
                <w:bCs/>
                <w:snapToGrid w:val="0"/>
                <w:color w:val="000000"/>
                <w:kern w:val="0"/>
                <w:sz w:val="28"/>
                <w:szCs w:val="28"/>
                <w:lang w:eastAsia="zh-CN"/>
              </w:rPr>
            </w:pPr>
            <w:r>
              <w:rPr>
                <w:rFonts w:hint="eastAsia" w:ascii="宋体" w:hAnsi="宋体" w:cs="Arial"/>
                <w:b/>
                <w:bCs/>
                <w:snapToGrid w:val="0"/>
                <w:color w:val="000000"/>
                <w:kern w:val="0"/>
                <w:sz w:val="28"/>
                <w:szCs w:val="28"/>
                <w:lang w:eastAsia="zh-CN"/>
              </w:rPr>
              <w:t>面积（㎡）</w:t>
            </w:r>
          </w:p>
        </w:tc>
        <w:tc>
          <w:tcPr>
            <w:tcW w:w="2054" w:type="dxa"/>
            <w:noWrap w:val="0"/>
            <w:vAlign w:val="top"/>
          </w:tcPr>
          <w:p>
            <w:pPr>
              <w:spacing w:line="440" w:lineRule="exact"/>
              <w:rPr>
                <w:rFonts w:ascii="宋体" w:hAnsi="宋体" w:cs="Arial"/>
                <w:b/>
                <w:bCs/>
                <w:snapToGrid w:val="0"/>
                <w:color w:val="000000"/>
                <w:kern w:val="0"/>
                <w:sz w:val="28"/>
                <w:szCs w:val="28"/>
              </w:rPr>
            </w:pPr>
            <w:r>
              <w:rPr>
                <w:rFonts w:hint="eastAsia" w:ascii="宋体" w:hAnsi="宋体" w:cs="Arial"/>
                <w:b/>
                <w:bCs/>
                <w:snapToGrid w:val="0"/>
                <w:color w:val="000000"/>
                <w:kern w:val="0"/>
                <w:sz w:val="28"/>
                <w:szCs w:val="28"/>
              </w:rPr>
              <w:t>热负荷（W/㎡）</w:t>
            </w:r>
          </w:p>
        </w:tc>
        <w:tc>
          <w:tcPr>
            <w:tcW w:w="2258" w:type="dxa"/>
            <w:noWrap w:val="0"/>
            <w:vAlign w:val="top"/>
          </w:tcPr>
          <w:p>
            <w:pPr>
              <w:spacing w:line="440" w:lineRule="exact"/>
              <w:rPr>
                <w:rFonts w:ascii="宋体" w:hAnsi="宋体" w:cs="Arial"/>
                <w:b/>
                <w:bCs/>
                <w:snapToGrid w:val="0"/>
                <w:color w:val="000000"/>
                <w:kern w:val="0"/>
                <w:sz w:val="28"/>
                <w:szCs w:val="28"/>
              </w:rPr>
            </w:pPr>
            <w:r>
              <w:rPr>
                <w:rFonts w:hint="eastAsia" w:ascii="宋体" w:hAnsi="宋体" w:cs="Arial"/>
                <w:b/>
                <w:bCs/>
                <w:snapToGrid w:val="0"/>
                <w:color w:val="000000"/>
                <w:kern w:val="0"/>
                <w:sz w:val="28"/>
                <w:szCs w:val="28"/>
              </w:rPr>
              <w:t>总热负荷（kW）</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2342" w:type="dxa"/>
            <w:noWrap w:val="0"/>
            <w:vAlign w:val="top"/>
          </w:tcPr>
          <w:p>
            <w:pPr>
              <w:spacing w:line="440" w:lineRule="exact"/>
              <w:ind w:firstLine="562" w:firstLineChars="200"/>
              <w:rPr>
                <w:rFonts w:hint="eastAsia" w:ascii="宋体" w:hAnsi="宋体" w:eastAsia="宋体" w:cs="Arial"/>
                <w:b/>
                <w:bCs/>
                <w:snapToGrid w:val="0"/>
                <w:color w:val="000000"/>
                <w:kern w:val="0"/>
                <w:sz w:val="28"/>
                <w:szCs w:val="28"/>
                <w:lang w:eastAsia="zh-CN"/>
              </w:rPr>
            </w:pPr>
            <w:r>
              <w:rPr>
                <w:rFonts w:hint="eastAsia" w:ascii="宋体" w:hAnsi="宋体" w:eastAsia="宋体" w:cs="Arial"/>
                <w:b/>
                <w:bCs/>
                <w:snapToGrid w:val="0"/>
                <w:color w:val="000000"/>
                <w:kern w:val="0"/>
                <w:sz w:val="28"/>
                <w:szCs w:val="28"/>
                <w:lang w:val="en-US" w:eastAsia="zh-CN"/>
              </w:rPr>
              <w:t>鸡舍</w:t>
            </w:r>
          </w:p>
        </w:tc>
        <w:tc>
          <w:tcPr>
            <w:tcW w:w="1642" w:type="dxa"/>
            <w:noWrap w:val="0"/>
            <w:vAlign w:val="top"/>
          </w:tcPr>
          <w:p>
            <w:pPr>
              <w:spacing w:line="440" w:lineRule="exact"/>
              <w:ind w:firstLine="562" w:firstLineChars="200"/>
              <w:rPr>
                <w:rFonts w:hint="default" w:ascii="宋体" w:hAnsi="宋体" w:eastAsia="宋体" w:cs="Arial"/>
                <w:b/>
                <w:bCs/>
                <w:snapToGrid w:val="0"/>
                <w:color w:val="000000"/>
                <w:kern w:val="0"/>
                <w:sz w:val="28"/>
                <w:szCs w:val="28"/>
                <w:lang w:val="en-US" w:eastAsia="zh-CN"/>
              </w:rPr>
            </w:pPr>
            <w:r>
              <w:rPr>
                <w:rFonts w:hint="eastAsia" w:ascii="宋体" w:hAnsi="宋体" w:cs="Arial"/>
                <w:b/>
                <w:bCs/>
                <w:snapToGrid w:val="0"/>
                <w:color w:val="000000"/>
                <w:kern w:val="0"/>
                <w:sz w:val="28"/>
                <w:szCs w:val="28"/>
                <w:lang w:val="en-US" w:eastAsia="zh-CN"/>
              </w:rPr>
              <w:t>10200</w:t>
            </w:r>
          </w:p>
        </w:tc>
        <w:tc>
          <w:tcPr>
            <w:tcW w:w="2054" w:type="dxa"/>
            <w:noWrap w:val="0"/>
            <w:vAlign w:val="top"/>
          </w:tcPr>
          <w:p>
            <w:pPr>
              <w:spacing w:line="440" w:lineRule="exact"/>
              <w:ind w:firstLine="562" w:firstLineChars="200"/>
              <w:rPr>
                <w:rFonts w:hint="default" w:ascii="宋体" w:hAnsi="宋体" w:eastAsia="宋体" w:cs="Arial"/>
                <w:b/>
                <w:bCs/>
                <w:snapToGrid w:val="0"/>
                <w:color w:val="000000"/>
                <w:kern w:val="0"/>
                <w:sz w:val="28"/>
                <w:szCs w:val="28"/>
                <w:lang w:val="en-US" w:eastAsia="zh-CN"/>
              </w:rPr>
            </w:pPr>
            <w:r>
              <w:rPr>
                <w:rFonts w:hint="eastAsia" w:ascii="宋体" w:hAnsi="宋体" w:cs="Arial"/>
                <w:b/>
                <w:bCs/>
                <w:snapToGrid w:val="0"/>
                <w:color w:val="000000"/>
                <w:kern w:val="0"/>
                <w:sz w:val="28"/>
                <w:szCs w:val="28"/>
                <w:lang w:val="en-US" w:eastAsia="zh-CN"/>
              </w:rPr>
              <w:t>120</w:t>
            </w:r>
          </w:p>
        </w:tc>
        <w:tc>
          <w:tcPr>
            <w:tcW w:w="2258" w:type="dxa"/>
            <w:noWrap w:val="0"/>
            <w:vAlign w:val="top"/>
          </w:tcPr>
          <w:p>
            <w:pPr>
              <w:spacing w:line="440" w:lineRule="exact"/>
              <w:ind w:firstLine="562" w:firstLineChars="200"/>
              <w:rPr>
                <w:rFonts w:hint="default" w:ascii="宋体" w:hAnsi="宋体" w:eastAsia="宋体" w:cs="Arial"/>
                <w:b/>
                <w:bCs/>
                <w:snapToGrid w:val="0"/>
                <w:color w:val="000000"/>
                <w:kern w:val="0"/>
                <w:sz w:val="28"/>
                <w:szCs w:val="28"/>
                <w:lang w:val="en-US" w:eastAsia="zh-CN"/>
              </w:rPr>
            </w:pPr>
            <w:r>
              <w:rPr>
                <w:rFonts w:hint="eastAsia" w:ascii="宋体" w:hAnsi="宋体" w:cs="Arial"/>
                <w:b/>
                <w:bCs/>
                <w:snapToGrid w:val="0"/>
                <w:color w:val="000000"/>
                <w:kern w:val="0"/>
                <w:sz w:val="28"/>
                <w:szCs w:val="28"/>
                <w:lang w:val="en-US" w:eastAsia="zh-CN"/>
              </w:rPr>
              <w:t>1224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2342" w:type="dxa"/>
            <w:noWrap w:val="0"/>
            <w:vAlign w:val="top"/>
          </w:tcPr>
          <w:p>
            <w:pPr>
              <w:spacing w:line="440" w:lineRule="exact"/>
              <w:ind w:firstLine="562" w:firstLineChars="200"/>
              <w:rPr>
                <w:rFonts w:hint="eastAsia" w:ascii="宋体" w:hAnsi="宋体" w:eastAsia="宋体" w:cs="Arial"/>
                <w:b/>
                <w:bCs/>
                <w:snapToGrid w:val="0"/>
                <w:color w:val="000000"/>
                <w:kern w:val="0"/>
                <w:sz w:val="28"/>
                <w:szCs w:val="28"/>
                <w:lang w:eastAsia="zh-CN"/>
              </w:rPr>
            </w:pPr>
            <w:r>
              <w:rPr>
                <w:rFonts w:hint="eastAsia" w:ascii="宋体" w:hAnsi="宋体" w:cs="Arial"/>
                <w:b/>
                <w:bCs/>
                <w:snapToGrid w:val="0"/>
                <w:color w:val="000000"/>
                <w:kern w:val="0"/>
                <w:sz w:val="28"/>
                <w:szCs w:val="28"/>
                <w:lang w:eastAsia="zh-CN"/>
              </w:rPr>
              <w:t>合计</w:t>
            </w:r>
          </w:p>
        </w:tc>
        <w:tc>
          <w:tcPr>
            <w:tcW w:w="1642" w:type="dxa"/>
            <w:noWrap w:val="0"/>
            <w:vAlign w:val="top"/>
          </w:tcPr>
          <w:p>
            <w:pPr>
              <w:spacing w:line="440" w:lineRule="exact"/>
              <w:ind w:firstLine="562" w:firstLineChars="200"/>
              <w:rPr>
                <w:rFonts w:hint="default" w:ascii="宋体" w:hAnsi="宋体" w:eastAsia="宋体" w:cs="Arial"/>
                <w:b/>
                <w:bCs/>
                <w:snapToGrid w:val="0"/>
                <w:color w:val="000000"/>
                <w:kern w:val="0"/>
                <w:sz w:val="28"/>
                <w:szCs w:val="28"/>
                <w:lang w:val="en-US" w:eastAsia="zh-CN"/>
              </w:rPr>
            </w:pPr>
            <w:r>
              <w:rPr>
                <w:rFonts w:hint="eastAsia" w:ascii="宋体" w:hAnsi="宋体" w:cs="Arial"/>
                <w:b/>
                <w:bCs/>
                <w:snapToGrid w:val="0"/>
                <w:color w:val="000000"/>
                <w:kern w:val="0"/>
                <w:sz w:val="28"/>
                <w:szCs w:val="28"/>
                <w:lang w:val="en-US" w:eastAsia="zh-CN"/>
              </w:rPr>
              <w:t>10200</w:t>
            </w:r>
          </w:p>
        </w:tc>
        <w:tc>
          <w:tcPr>
            <w:tcW w:w="2054" w:type="dxa"/>
            <w:noWrap w:val="0"/>
            <w:vAlign w:val="top"/>
          </w:tcPr>
          <w:p>
            <w:pPr>
              <w:spacing w:line="440" w:lineRule="exact"/>
              <w:ind w:firstLine="562" w:firstLineChars="200"/>
              <w:rPr>
                <w:rFonts w:hint="default" w:ascii="宋体" w:hAnsi="宋体" w:eastAsia="宋体" w:cs="Arial"/>
                <w:b/>
                <w:bCs/>
                <w:snapToGrid w:val="0"/>
                <w:color w:val="000000"/>
                <w:kern w:val="0"/>
                <w:sz w:val="28"/>
                <w:szCs w:val="28"/>
                <w:lang w:val="en-US" w:eastAsia="zh-CN"/>
              </w:rPr>
            </w:pPr>
          </w:p>
        </w:tc>
        <w:tc>
          <w:tcPr>
            <w:tcW w:w="2258" w:type="dxa"/>
            <w:noWrap w:val="0"/>
            <w:vAlign w:val="top"/>
          </w:tcPr>
          <w:p>
            <w:pPr>
              <w:spacing w:line="440" w:lineRule="exact"/>
              <w:ind w:firstLine="562" w:firstLineChars="200"/>
              <w:rPr>
                <w:rFonts w:hint="default" w:ascii="宋体" w:hAnsi="宋体" w:eastAsia="宋体" w:cs="Arial"/>
                <w:b/>
                <w:bCs/>
                <w:snapToGrid w:val="0"/>
                <w:color w:val="000000"/>
                <w:kern w:val="0"/>
                <w:sz w:val="28"/>
                <w:szCs w:val="28"/>
                <w:lang w:val="en-US" w:eastAsia="zh-CN"/>
              </w:rPr>
            </w:pPr>
            <w:r>
              <w:rPr>
                <w:rFonts w:hint="eastAsia" w:ascii="宋体" w:hAnsi="宋体" w:cs="Arial"/>
                <w:b/>
                <w:bCs/>
                <w:snapToGrid w:val="0"/>
                <w:color w:val="000000"/>
                <w:kern w:val="0"/>
                <w:sz w:val="28"/>
                <w:szCs w:val="28"/>
                <w:lang w:val="en-US" w:eastAsia="zh-CN"/>
              </w:rPr>
              <w:t>1224</w:t>
            </w:r>
          </w:p>
        </w:tc>
      </w:tr>
    </w:tbl>
    <w:p>
      <w:pPr>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空气能主机设备选型</w:t>
      </w:r>
    </w:p>
    <w:p>
      <w:pPr>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该工程供暖建筑面积约为</w:t>
      </w:r>
      <w:r>
        <w:rPr>
          <w:rFonts w:hint="eastAsia" w:ascii="仿宋_GB2312" w:eastAsia="仿宋_GB2312" w:cs="Times New Roman"/>
          <w:color w:val="000000"/>
          <w:sz w:val="32"/>
          <w:szCs w:val="32"/>
          <w:shd w:val="clear" w:color="auto" w:fill="FFFFFF"/>
          <w:lang w:val="en-US" w:eastAsia="zh-CN"/>
          <w14:ligatures w14:val="none"/>
        </w:rPr>
        <w:t>10200</w:t>
      </w:r>
      <w:r>
        <w:rPr>
          <w:rFonts w:hint="eastAsia" w:ascii="仿宋_GB2312" w:hAnsi="Times New Roman" w:eastAsia="仿宋_GB2312" w:cs="Times New Roman"/>
          <w:color w:val="000000"/>
          <w:sz w:val="32"/>
          <w:szCs w:val="32"/>
          <w:shd w:val="clear" w:color="auto" w:fill="FFFFFF"/>
          <w14:ligatures w14:val="none"/>
        </w:rPr>
        <w:t>㎡，采暖制热负荷平均按</w:t>
      </w:r>
      <w:r>
        <w:rPr>
          <w:rFonts w:hint="eastAsia" w:ascii="仿宋_GB2312" w:eastAsia="仿宋_GB2312" w:cs="Times New Roman"/>
          <w:color w:val="000000"/>
          <w:sz w:val="32"/>
          <w:szCs w:val="32"/>
          <w:shd w:val="clear" w:color="auto" w:fill="FFFFFF"/>
          <w:lang w:val="en-US" w:eastAsia="zh-CN"/>
          <w14:ligatures w14:val="none"/>
        </w:rPr>
        <w:t>120</w:t>
      </w:r>
      <w:r>
        <w:rPr>
          <w:rFonts w:hint="eastAsia" w:ascii="仿宋_GB2312" w:hAnsi="Times New Roman" w:eastAsia="仿宋_GB2312" w:cs="Times New Roman"/>
          <w:color w:val="000000"/>
          <w:sz w:val="32"/>
          <w:szCs w:val="32"/>
          <w:shd w:val="clear" w:color="auto" w:fill="FFFFFF"/>
          <w14:ligatures w14:val="none"/>
        </w:rPr>
        <w:t>/㎡计算，则采暖总制热负荷为</w:t>
      </w:r>
      <w:r>
        <w:rPr>
          <w:rFonts w:hint="eastAsia" w:ascii="仿宋_GB2312" w:eastAsia="仿宋_GB2312" w:cs="Times New Roman"/>
          <w:color w:val="000000"/>
          <w:sz w:val="32"/>
          <w:szCs w:val="32"/>
          <w:shd w:val="clear" w:color="auto" w:fill="FFFFFF"/>
          <w:lang w:val="en-US" w:eastAsia="zh-CN"/>
          <w14:ligatures w14:val="none"/>
        </w:rPr>
        <w:t>1224</w:t>
      </w:r>
      <w:r>
        <w:rPr>
          <w:rFonts w:hint="eastAsia" w:ascii="仿宋_GB2312" w:hAnsi="Times New Roman" w:eastAsia="仿宋_GB2312" w:cs="Times New Roman"/>
          <w:color w:val="000000"/>
          <w:sz w:val="32"/>
          <w:szCs w:val="32"/>
          <w:shd w:val="clear" w:color="auto" w:fill="FFFFFF"/>
          <w14:ligatures w14:val="none"/>
        </w:rPr>
        <w:t>kw。60P空气能机组制热量为</w:t>
      </w:r>
      <w:r>
        <w:rPr>
          <w:rFonts w:hint="eastAsia" w:ascii="仿宋_GB2312" w:hAnsi="Times New Roman" w:eastAsia="仿宋_GB2312" w:cs="Times New Roman"/>
          <w:color w:val="000000"/>
          <w:sz w:val="32"/>
          <w:szCs w:val="32"/>
          <w:shd w:val="clear" w:color="auto" w:fill="FFFFFF"/>
          <w:lang w:val="en-US" w:eastAsia="zh-CN"/>
          <w14:ligatures w14:val="none"/>
        </w:rPr>
        <w:t>165</w:t>
      </w:r>
      <w:r>
        <w:rPr>
          <w:rFonts w:hint="eastAsia" w:ascii="仿宋_GB2312" w:hAnsi="Times New Roman" w:eastAsia="仿宋_GB2312" w:cs="Times New Roman"/>
          <w:color w:val="000000"/>
          <w:sz w:val="32"/>
          <w:szCs w:val="32"/>
          <w:shd w:val="clear" w:color="auto" w:fill="FFFFFF"/>
          <w14:ligatures w14:val="none"/>
        </w:rPr>
        <w:t>kw。</w:t>
      </w:r>
      <w:r>
        <w:rPr>
          <w:rFonts w:hint="eastAsia" w:ascii="仿宋_GB2312" w:hAnsi="Times New Roman" w:eastAsia="仿宋_GB2312" w:cs="Times New Roman"/>
          <w:color w:val="000000"/>
          <w:sz w:val="32"/>
          <w:szCs w:val="32"/>
          <w:shd w:val="clear" w:color="auto" w:fill="FFFFFF"/>
          <w:lang w:val="en-US" w:eastAsia="zh-CN"/>
          <w14:ligatures w14:val="none"/>
        </w:rPr>
        <w:t>1</w:t>
      </w:r>
      <w:r>
        <w:rPr>
          <w:rFonts w:hint="eastAsia" w:ascii="仿宋_GB2312" w:eastAsia="仿宋_GB2312" w:cs="Times New Roman"/>
          <w:color w:val="000000"/>
          <w:sz w:val="32"/>
          <w:szCs w:val="32"/>
          <w:shd w:val="clear" w:color="auto" w:fill="FFFFFF"/>
          <w:lang w:val="en-US" w:eastAsia="zh-CN"/>
          <w14:ligatures w14:val="none"/>
        </w:rPr>
        <w:t>224</w:t>
      </w:r>
      <w:r>
        <w:rPr>
          <w:rFonts w:hint="eastAsia" w:ascii="仿宋_GB2312" w:hAnsi="Times New Roman" w:eastAsia="仿宋_GB2312" w:cs="Times New Roman"/>
          <w:color w:val="000000"/>
          <w:sz w:val="32"/>
          <w:szCs w:val="32"/>
          <w:shd w:val="clear" w:color="auto" w:fill="FFFFFF"/>
          <w14:ligatures w14:val="none"/>
        </w:rPr>
        <w:t>÷</w:t>
      </w:r>
      <w:r>
        <w:rPr>
          <w:rFonts w:hint="eastAsia" w:ascii="仿宋_GB2312" w:hAnsi="Times New Roman" w:eastAsia="仿宋_GB2312" w:cs="Times New Roman"/>
          <w:color w:val="000000"/>
          <w:sz w:val="32"/>
          <w:szCs w:val="32"/>
          <w:shd w:val="clear" w:color="auto" w:fill="FFFFFF"/>
          <w:lang w:val="en-US" w:eastAsia="zh-CN"/>
          <w14:ligatures w14:val="none"/>
        </w:rPr>
        <w:t>165</w:t>
      </w:r>
      <w:r>
        <w:rPr>
          <w:rFonts w:hint="eastAsia" w:ascii="仿宋_GB2312" w:hAnsi="Times New Roman" w:eastAsia="仿宋_GB2312" w:cs="Times New Roman"/>
          <w:color w:val="000000"/>
          <w:sz w:val="32"/>
          <w:szCs w:val="32"/>
          <w:shd w:val="clear" w:color="auto" w:fill="FFFFFF"/>
          <w14:ligatures w14:val="none"/>
        </w:rPr>
        <w:t>=</w:t>
      </w:r>
      <w:r>
        <w:rPr>
          <w:rFonts w:hint="eastAsia" w:ascii="仿宋_GB2312" w:eastAsia="仿宋_GB2312" w:cs="Times New Roman"/>
          <w:color w:val="000000"/>
          <w:sz w:val="32"/>
          <w:szCs w:val="32"/>
          <w:shd w:val="clear" w:color="auto" w:fill="FFFFFF"/>
          <w:lang w:val="en-US" w:eastAsia="zh-CN"/>
          <w14:ligatures w14:val="none"/>
        </w:rPr>
        <w:t>7.42</w:t>
      </w:r>
      <w:r>
        <w:rPr>
          <w:rFonts w:hint="eastAsia" w:ascii="仿宋_GB2312" w:hAnsi="Times New Roman" w:eastAsia="仿宋_GB2312" w:cs="Times New Roman"/>
          <w:color w:val="000000"/>
          <w:sz w:val="32"/>
          <w:szCs w:val="32"/>
          <w:shd w:val="clear" w:color="auto" w:fill="FFFFFF"/>
          <w14:ligatures w14:val="none"/>
        </w:rPr>
        <w:t>，因此选用</w:t>
      </w:r>
      <w:r>
        <w:rPr>
          <w:rFonts w:hint="eastAsia" w:ascii="仿宋_GB2312" w:eastAsia="仿宋_GB2312" w:cs="Times New Roman"/>
          <w:color w:val="000000"/>
          <w:sz w:val="32"/>
          <w:szCs w:val="32"/>
          <w:shd w:val="clear" w:color="auto" w:fill="FFFFFF"/>
          <w:lang w:val="en-US" w:eastAsia="zh-CN"/>
          <w14:ligatures w14:val="none"/>
        </w:rPr>
        <w:t>8</w:t>
      </w:r>
      <w:r>
        <w:rPr>
          <w:rFonts w:hint="eastAsia" w:ascii="仿宋_GB2312" w:hAnsi="Times New Roman" w:eastAsia="仿宋_GB2312" w:cs="Times New Roman"/>
          <w:color w:val="000000"/>
          <w:sz w:val="32"/>
          <w:szCs w:val="32"/>
          <w:shd w:val="clear" w:color="auto" w:fill="FFFFFF"/>
          <w14:ligatures w14:val="none"/>
        </w:rPr>
        <w:t>台60P空气能机组，总制热量为</w:t>
      </w:r>
      <w:r>
        <w:rPr>
          <w:rFonts w:hint="eastAsia" w:ascii="仿宋_GB2312" w:hAnsi="Times New Roman" w:eastAsia="仿宋_GB2312" w:cs="Times New Roman"/>
          <w:color w:val="000000"/>
          <w:sz w:val="32"/>
          <w:szCs w:val="32"/>
          <w:shd w:val="clear" w:color="auto" w:fill="FFFFFF"/>
          <w:lang w:val="en-US" w:eastAsia="zh-CN"/>
          <w14:ligatures w14:val="none"/>
        </w:rPr>
        <w:t>165</w:t>
      </w:r>
      <w:r>
        <w:rPr>
          <w:rFonts w:hint="eastAsia" w:ascii="仿宋_GB2312" w:hAnsi="Times New Roman" w:eastAsia="仿宋_GB2312" w:cs="Times New Roman"/>
          <w:color w:val="000000"/>
          <w:sz w:val="32"/>
          <w:szCs w:val="32"/>
          <w:shd w:val="clear" w:color="auto" w:fill="FFFFFF"/>
          <w14:ligatures w14:val="none"/>
        </w:rPr>
        <w:t>*</w:t>
      </w:r>
      <w:r>
        <w:rPr>
          <w:rFonts w:hint="eastAsia" w:ascii="仿宋_GB2312" w:eastAsia="仿宋_GB2312" w:cs="Times New Roman"/>
          <w:color w:val="000000"/>
          <w:sz w:val="32"/>
          <w:szCs w:val="32"/>
          <w:shd w:val="clear" w:color="auto" w:fill="FFFFFF"/>
          <w:lang w:val="en-US" w:eastAsia="zh-CN"/>
          <w14:ligatures w14:val="none"/>
        </w:rPr>
        <w:t>8</w:t>
      </w:r>
      <w:r>
        <w:rPr>
          <w:rFonts w:hint="eastAsia" w:ascii="仿宋_GB2312" w:hAnsi="Times New Roman" w:eastAsia="仿宋_GB2312" w:cs="Times New Roman"/>
          <w:color w:val="000000"/>
          <w:sz w:val="32"/>
          <w:szCs w:val="32"/>
          <w:shd w:val="clear" w:color="auto" w:fill="FFFFFF"/>
          <w14:ligatures w14:val="none"/>
        </w:rPr>
        <w:t>=</w:t>
      </w:r>
      <w:r>
        <w:rPr>
          <w:rFonts w:hint="eastAsia" w:ascii="仿宋_GB2312" w:hAnsi="Times New Roman" w:eastAsia="仿宋_GB2312" w:cs="Times New Roman"/>
          <w:color w:val="000000"/>
          <w:sz w:val="32"/>
          <w:szCs w:val="32"/>
          <w:shd w:val="clear" w:color="auto" w:fill="FFFFFF"/>
          <w:lang w:val="en-US" w:eastAsia="zh-CN"/>
          <w14:ligatures w14:val="none"/>
        </w:rPr>
        <w:t>1</w:t>
      </w:r>
      <w:r>
        <w:rPr>
          <w:rFonts w:hint="eastAsia" w:ascii="仿宋_GB2312" w:eastAsia="仿宋_GB2312" w:cs="Times New Roman"/>
          <w:color w:val="000000"/>
          <w:sz w:val="32"/>
          <w:szCs w:val="32"/>
          <w:shd w:val="clear" w:color="auto" w:fill="FFFFFF"/>
          <w:lang w:val="en-US" w:eastAsia="zh-CN"/>
          <w14:ligatures w14:val="none"/>
        </w:rPr>
        <w:t>320</w:t>
      </w:r>
      <w:r>
        <w:rPr>
          <w:rFonts w:hint="eastAsia" w:ascii="仿宋_GB2312" w:hAnsi="Times New Roman" w:eastAsia="仿宋_GB2312" w:cs="Times New Roman"/>
          <w:color w:val="000000"/>
          <w:sz w:val="32"/>
          <w:szCs w:val="32"/>
          <w:shd w:val="clear" w:color="auto" w:fill="FFFFFF"/>
          <w14:ligatures w14:val="none"/>
        </w:rPr>
        <w:t>kw，能够满足该工程采暖总制热负荷</w:t>
      </w:r>
      <w:r>
        <w:rPr>
          <w:rFonts w:hint="eastAsia" w:ascii="仿宋_GB2312" w:eastAsia="仿宋_GB2312" w:cs="Times New Roman"/>
          <w:color w:val="000000"/>
          <w:sz w:val="32"/>
          <w:szCs w:val="32"/>
          <w:shd w:val="clear" w:color="auto" w:fill="FFFFFF"/>
          <w:lang w:val="en-US" w:eastAsia="zh-CN"/>
          <w14:ligatures w14:val="none"/>
        </w:rPr>
        <w:t>1224</w:t>
      </w:r>
      <w:r>
        <w:rPr>
          <w:rFonts w:hint="eastAsia" w:ascii="仿宋_GB2312" w:hAnsi="Times New Roman" w:eastAsia="仿宋_GB2312" w:cs="Times New Roman"/>
          <w:color w:val="000000"/>
          <w:sz w:val="32"/>
          <w:szCs w:val="32"/>
          <w:shd w:val="clear" w:color="auto" w:fill="FFFFFF"/>
          <w14:ligatures w14:val="none"/>
        </w:rPr>
        <w:t>kw的要求。</w:t>
      </w:r>
    </w:p>
    <w:p>
      <w:pPr>
        <w:pStyle w:val="12"/>
        <w:keepNext w:val="0"/>
        <w:keepLines w:val="0"/>
        <w:pageBreakBefore w:val="0"/>
        <w:widowControl w:val="0"/>
        <w:kinsoku/>
        <w:wordWrap/>
        <w:overflowPunct/>
        <w:topLinePunct w:val="0"/>
        <w:bidi w:val="0"/>
        <w:snapToGrid/>
        <w:spacing w:line="360" w:lineRule="auto"/>
        <w:ind w:firstLine="640" w:firstLineChars="200"/>
        <w:jc w:val="both"/>
        <w:textAlignment w:val="auto"/>
        <w:rPr>
          <w:rFonts w:hint="default" w:ascii="仿宋_GB2312" w:hAnsi="Times New Roman" w:eastAsia="仿宋_GB2312" w:cs="Times New Roman"/>
          <w:color w:val="000000"/>
          <w:kern w:val="2"/>
          <w:sz w:val="32"/>
          <w:szCs w:val="32"/>
          <w:highlight w:val="none"/>
          <w:shd w:val="clear" w:color="auto" w:fill="FFFFFF"/>
          <w:lang w:val="en-US" w:eastAsia="zh-CN" w:bidi="ar-SA"/>
        </w:rPr>
      </w:pPr>
      <w:r>
        <w:rPr>
          <w:rFonts w:hint="default" w:ascii="仿宋_GB2312" w:hAnsi="Times New Roman" w:eastAsia="仿宋_GB2312" w:cs="Times New Roman"/>
          <w:color w:val="000000"/>
          <w:kern w:val="2"/>
          <w:sz w:val="32"/>
          <w:szCs w:val="32"/>
          <w:highlight w:val="none"/>
          <w:shd w:val="clear" w:color="auto" w:fill="FFFFFF"/>
          <w:lang w:val="en-US" w:eastAsia="zh-CN" w:bidi="ar-SA"/>
        </w:rPr>
        <w:t>太阳能集热单元设计参数：</w:t>
      </w:r>
    </w:p>
    <w:p>
      <w:pPr>
        <w:pStyle w:val="12"/>
        <w:keepNext w:val="0"/>
        <w:keepLines w:val="0"/>
        <w:pageBreakBefore w:val="0"/>
        <w:widowControl w:val="0"/>
        <w:kinsoku/>
        <w:wordWrap/>
        <w:overflowPunct/>
        <w:topLinePunct w:val="0"/>
        <w:bidi w:val="0"/>
        <w:snapToGrid/>
        <w:spacing w:line="360" w:lineRule="auto"/>
        <w:ind w:firstLine="640" w:firstLineChars="200"/>
        <w:jc w:val="both"/>
        <w:textAlignment w:val="auto"/>
        <w:rPr>
          <w:rFonts w:hint="default" w:ascii="仿宋_GB2312" w:hAnsi="Times New Roman" w:eastAsia="仿宋_GB2312" w:cs="Times New Roman"/>
          <w:color w:val="000000"/>
          <w:kern w:val="2"/>
          <w:sz w:val="32"/>
          <w:szCs w:val="32"/>
          <w:highlight w:val="none"/>
          <w:shd w:val="clear" w:color="auto" w:fill="FFFFFF"/>
          <w:lang w:val="en-US" w:eastAsia="zh-CN" w:bidi="ar-SA"/>
        </w:rPr>
      </w:pPr>
      <w:r>
        <w:rPr>
          <w:rFonts w:hint="default" w:ascii="仿宋_GB2312" w:hAnsi="Times New Roman" w:eastAsia="仿宋_GB2312" w:cs="Times New Roman"/>
          <w:color w:val="000000"/>
          <w:kern w:val="2"/>
          <w:sz w:val="32"/>
          <w:szCs w:val="32"/>
          <w:highlight w:val="none"/>
          <w:shd w:val="clear" w:color="auto" w:fill="FFFFFF"/>
          <w:lang w:val="en-US" w:eastAsia="zh-CN" w:bidi="ar-SA"/>
        </w:rPr>
        <w:t>（1）真空管集热器：Φ58×1800</w:t>
      </w:r>
      <w:r>
        <w:rPr>
          <w:rFonts w:hint="eastAsia" w:ascii="仿宋_GB2312" w:hAnsi="Times New Roman" w:eastAsia="仿宋_GB2312" w:cs="Times New Roman"/>
          <w:color w:val="000000"/>
          <w:kern w:val="2"/>
          <w:sz w:val="32"/>
          <w:szCs w:val="32"/>
          <w:highlight w:val="none"/>
          <w:shd w:val="clear" w:color="auto" w:fill="FFFFFF"/>
          <w:lang w:val="en-US" w:eastAsia="zh-CN" w:bidi="ar-SA"/>
        </w:rPr>
        <w:t xml:space="preserve"> ，容量1吨水太阳能集热器平均每天可集热5万大卡热值，按电热单位换算是58.14</w:t>
      </w:r>
      <w:r>
        <w:rPr>
          <w:rFonts w:hint="eastAsia" w:ascii="仿宋_GB2312" w:hAnsi="Times New Roman" w:eastAsia="仿宋_GB2312" w:cs="Times New Roman"/>
          <w:color w:val="000000"/>
          <w:sz w:val="32"/>
          <w:szCs w:val="32"/>
          <w:shd w:val="clear" w:color="auto" w:fill="FFFFFF"/>
          <w14:ligatures w14:val="none"/>
        </w:rPr>
        <w:t>kw</w:t>
      </w:r>
      <w:r>
        <w:rPr>
          <w:rFonts w:hint="eastAsia" w:ascii="仿宋_GB2312" w:hAnsi="Times New Roman" w:eastAsia="仿宋_GB2312" w:cs="Times New Roman"/>
          <w:color w:val="000000"/>
          <w:sz w:val="32"/>
          <w:szCs w:val="32"/>
          <w:shd w:val="clear" w:color="auto" w:fill="FFFFFF"/>
          <w:lang w:val="en-US" w:eastAsia="zh-CN"/>
          <w14:ligatures w14:val="none"/>
        </w:rPr>
        <w:t>h</w:t>
      </w:r>
      <w:r>
        <w:rPr>
          <w:rFonts w:hint="eastAsia" w:ascii="仿宋_GB2312" w:hAnsi="Times New Roman" w:eastAsia="仿宋_GB2312" w:cs="Times New Roman"/>
          <w:color w:val="000000"/>
          <w:sz w:val="32"/>
          <w:szCs w:val="32"/>
          <w:shd w:val="clear" w:color="auto" w:fill="FFFFFF"/>
          <w:lang w:eastAsia="zh-CN"/>
          <w14:ligatures w14:val="none"/>
        </w:rPr>
        <w:t>，</w:t>
      </w:r>
      <w:r>
        <w:rPr>
          <w:rFonts w:hint="eastAsia" w:ascii="仿宋_GB2312" w:hAnsi="Times New Roman" w:eastAsia="仿宋_GB2312" w:cs="Times New Roman"/>
          <w:color w:val="000000"/>
          <w:sz w:val="32"/>
          <w:szCs w:val="32"/>
          <w:shd w:val="clear" w:color="auto" w:fill="FFFFFF"/>
          <w:lang w:val="en-US" w:eastAsia="zh-CN"/>
          <w14:ligatures w14:val="none"/>
        </w:rPr>
        <w:t>选择20吨容量58.14*20=1162.8</w:t>
      </w:r>
      <w:r>
        <w:rPr>
          <w:rFonts w:hint="eastAsia" w:ascii="仿宋_GB2312" w:hAnsi="Times New Roman" w:eastAsia="仿宋_GB2312" w:cs="Times New Roman"/>
          <w:color w:val="000000"/>
          <w:sz w:val="32"/>
          <w:szCs w:val="32"/>
          <w:shd w:val="clear" w:color="auto" w:fill="FFFFFF"/>
          <w14:ligatures w14:val="none"/>
        </w:rPr>
        <w:t>kw</w:t>
      </w:r>
      <w:r>
        <w:rPr>
          <w:rFonts w:hint="eastAsia" w:ascii="仿宋_GB2312" w:hAnsi="Times New Roman" w:eastAsia="仿宋_GB2312" w:cs="Times New Roman"/>
          <w:color w:val="000000"/>
          <w:sz w:val="32"/>
          <w:szCs w:val="32"/>
          <w:shd w:val="clear" w:color="auto" w:fill="FFFFFF"/>
          <w:lang w:val="en-US" w:eastAsia="zh-CN"/>
          <w14:ligatures w14:val="none"/>
        </w:rPr>
        <w:t>h</w:t>
      </w:r>
      <w:r>
        <w:rPr>
          <w:rFonts w:hint="eastAsia" w:ascii="仿宋_GB2312" w:hAnsi="Times New Roman" w:eastAsia="仿宋_GB2312" w:cs="Times New Roman"/>
          <w:color w:val="000000"/>
          <w:sz w:val="32"/>
          <w:szCs w:val="32"/>
          <w:shd w:val="clear" w:color="auto" w:fill="FFFFFF"/>
          <w:lang w:eastAsia="zh-CN"/>
          <w14:ligatures w14:val="none"/>
        </w:rPr>
        <w:t>，</w:t>
      </w:r>
      <w:r>
        <w:rPr>
          <w:rFonts w:hint="eastAsia" w:ascii="仿宋_GB2312" w:hAnsi="Times New Roman" w:eastAsia="仿宋_GB2312" w:cs="Times New Roman"/>
          <w:color w:val="000000"/>
          <w:sz w:val="32"/>
          <w:szCs w:val="32"/>
          <w:shd w:val="clear" w:color="auto" w:fill="FFFFFF"/>
          <w:lang w:val="en-US" w:eastAsia="zh-CN"/>
          <w14:ligatures w14:val="none"/>
        </w:rPr>
        <w:t>在夏季完全用太阳能产生的热值供暖。其它季节配合空气能热泵一起使用。选用20吨水太阳能集热器配合8台60匹空气能机组是经济效益最好的搭配。</w:t>
      </w:r>
    </w:p>
    <w:p>
      <w:pPr>
        <w:pStyle w:val="12"/>
        <w:keepNext w:val="0"/>
        <w:keepLines w:val="0"/>
        <w:pageBreakBefore w:val="0"/>
        <w:widowControl w:val="0"/>
        <w:kinsoku/>
        <w:wordWrap/>
        <w:overflowPunct/>
        <w:topLinePunct w:val="0"/>
        <w:bidi w:val="0"/>
        <w:snapToGrid/>
        <w:spacing w:line="360" w:lineRule="auto"/>
        <w:ind w:firstLine="640" w:firstLineChars="200"/>
        <w:jc w:val="both"/>
        <w:textAlignment w:val="auto"/>
        <w:rPr>
          <w:rFonts w:hint="default" w:ascii="仿宋_GB2312" w:hAnsi="Times New Roman" w:eastAsia="仿宋_GB2312" w:cs="Times New Roman"/>
          <w:color w:val="000000"/>
          <w:kern w:val="2"/>
          <w:sz w:val="32"/>
          <w:szCs w:val="32"/>
          <w:highlight w:val="none"/>
          <w:shd w:val="clear" w:color="auto" w:fill="FFFFFF"/>
          <w:lang w:val="en-US" w:eastAsia="zh-CN" w:bidi="ar-SA"/>
        </w:rPr>
      </w:pPr>
      <w:r>
        <w:rPr>
          <w:rFonts w:hint="default" w:ascii="仿宋_GB2312" w:hAnsi="Times New Roman" w:eastAsia="仿宋_GB2312" w:cs="Times New Roman"/>
          <w:color w:val="000000"/>
          <w:kern w:val="2"/>
          <w:sz w:val="32"/>
          <w:szCs w:val="32"/>
          <w:highlight w:val="none"/>
          <w:shd w:val="clear" w:color="auto" w:fill="FFFFFF"/>
          <w:lang w:val="en-US" w:eastAsia="zh-CN" w:bidi="ar-SA"/>
        </w:rPr>
        <w:t>（2）太阳能储热保温水箱共用空气能机组水箱。</w:t>
      </w:r>
    </w:p>
    <w:p>
      <w:pPr>
        <w:pStyle w:val="12"/>
        <w:keepNext w:val="0"/>
        <w:keepLines w:val="0"/>
        <w:pageBreakBefore w:val="0"/>
        <w:widowControl w:val="0"/>
        <w:kinsoku/>
        <w:wordWrap/>
        <w:overflowPunct/>
        <w:topLinePunct w:val="0"/>
        <w:bidi w:val="0"/>
        <w:snapToGrid/>
        <w:spacing w:line="360" w:lineRule="auto"/>
        <w:ind w:firstLine="640" w:firstLineChars="200"/>
        <w:jc w:val="both"/>
        <w:textAlignment w:val="auto"/>
        <w:rPr>
          <w:rFonts w:hint="default" w:ascii="仿宋_GB2312" w:hAnsi="Times New Roman" w:eastAsia="仿宋_GB2312" w:cs="Times New Roman"/>
          <w:color w:val="000000"/>
          <w:kern w:val="2"/>
          <w:sz w:val="32"/>
          <w:szCs w:val="32"/>
          <w:highlight w:val="none"/>
          <w:shd w:val="clear" w:color="auto" w:fill="FFFFFF"/>
          <w:lang w:val="en-US" w:eastAsia="zh-CN" w:bidi="ar-SA"/>
        </w:rPr>
      </w:pPr>
      <w:r>
        <w:rPr>
          <w:rFonts w:hint="default" w:ascii="仿宋_GB2312" w:hAnsi="Times New Roman" w:eastAsia="仿宋_GB2312" w:cs="Times New Roman"/>
          <w:color w:val="000000"/>
          <w:kern w:val="2"/>
          <w:sz w:val="32"/>
          <w:szCs w:val="32"/>
          <w:highlight w:val="none"/>
          <w:shd w:val="clear" w:color="auto" w:fill="FFFFFF"/>
          <w:lang w:val="en-US" w:eastAsia="zh-CN" w:bidi="ar-SA"/>
        </w:rPr>
        <w:t>（3）控制单元：采用太阳能专用控制柜，含水温水位传感器、连接信号线、电源线等；</w:t>
      </w:r>
    </w:p>
    <w:p>
      <w:pPr>
        <w:pStyle w:val="12"/>
        <w:keepNext w:val="0"/>
        <w:keepLines w:val="0"/>
        <w:pageBreakBefore w:val="0"/>
        <w:widowControl w:val="0"/>
        <w:kinsoku/>
        <w:wordWrap/>
        <w:overflowPunct/>
        <w:topLinePunct w:val="0"/>
        <w:bidi w:val="0"/>
        <w:snapToGrid/>
        <w:spacing w:line="360" w:lineRule="auto"/>
        <w:ind w:firstLine="640" w:firstLineChars="200"/>
        <w:jc w:val="both"/>
        <w:textAlignment w:val="auto"/>
        <w:rPr>
          <w:rFonts w:hint="default" w:ascii="仿宋_GB2312" w:hAnsi="Times New Roman" w:eastAsia="仿宋_GB2312" w:cs="Times New Roman"/>
          <w:color w:val="000000"/>
          <w:kern w:val="2"/>
          <w:sz w:val="32"/>
          <w:szCs w:val="32"/>
          <w:highlight w:val="none"/>
          <w:shd w:val="clear" w:color="auto" w:fill="FFFFFF"/>
          <w:lang w:val="en-US" w:eastAsia="zh-CN" w:bidi="ar-SA"/>
        </w:rPr>
      </w:pPr>
      <w:r>
        <w:rPr>
          <w:rFonts w:hint="default" w:ascii="仿宋_GB2312" w:hAnsi="Times New Roman" w:eastAsia="仿宋_GB2312" w:cs="Times New Roman"/>
          <w:color w:val="000000"/>
          <w:kern w:val="2"/>
          <w:sz w:val="32"/>
          <w:szCs w:val="32"/>
          <w:highlight w:val="none"/>
          <w:shd w:val="clear" w:color="auto" w:fill="FFFFFF"/>
          <w:lang w:val="en-US" w:eastAsia="zh-CN" w:bidi="ar-SA"/>
        </w:rPr>
        <w:t>（4）管路采用DN</w:t>
      </w:r>
      <w:r>
        <w:rPr>
          <w:rFonts w:hint="eastAsia" w:ascii="仿宋_GB2312" w:hAnsi="Times New Roman" w:eastAsia="仿宋_GB2312" w:cs="Times New Roman"/>
          <w:color w:val="000000"/>
          <w:kern w:val="2"/>
          <w:sz w:val="32"/>
          <w:szCs w:val="32"/>
          <w:highlight w:val="none"/>
          <w:shd w:val="clear" w:color="auto" w:fill="FFFFFF"/>
          <w:lang w:val="en-US" w:eastAsia="zh-CN" w:bidi="ar-SA"/>
        </w:rPr>
        <w:t>50</w:t>
      </w:r>
      <w:r>
        <w:rPr>
          <w:rFonts w:hint="default" w:ascii="仿宋_GB2312" w:hAnsi="Times New Roman" w:eastAsia="仿宋_GB2312" w:cs="Times New Roman"/>
          <w:color w:val="000000"/>
          <w:kern w:val="2"/>
          <w:sz w:val="32"/>
          <w:szCs w:val="32"/>
          <w:highlight w:val="none"/>
          <w:shd w:val="clear" w:color="auto" w:fill="FFFFFF"/>
          <w:lang w:val="en-US" w:eastAsia="zh-CN" w:bidi="ar-SA"/>
        </w:rPr>
        <w:t>国标热镀锌钢管，阀门管件采用国标优质阀门，管路保温厚度不低于30mm，室外部分加防冻电热带；</w:t>
      </w:r>
    </w:p>
    <w:p>
      <w:pPr>
        <w:pStyle w:val="12"/>
        <w:keepNext w:val="0"/>
        <w:keepLines w:val="0"/>
        <w:pageBreakBefore w:val="0"/>
        <w:widowControl w:val="0"/>
        <w:kinsoku/>
        <w:wordWrap/>
        <w:overflowPunct/>
        <w:topLinePunct w:val="0"/>
        <w:bidi w:val="0"/>
        <w:snapToGrid/>
        <w:spacing w:line="360" w:lineRule="auto"/>
        <w:ind w:firstLine="640" w:firstLineChars="200"/>
        <w:jc w:val="both"/>
        <w:textAlignment w:val="auto"/>
        <w:rPr>
          <w:rFonts w:hint="default" w:ascii="仿宋_GB2312" w:hAnsi="Times New Roman" w:eastAsia="仿宋_GB2312" w:cs="Times New Roman"/>
          <w:color w:val="000000"/>
          <w:kern w:val="2"/>
          <w:sz w:val="32"/>
          <w:szCs w:val="32"/>
          <w:highlight w:val="none"/>
          <w:shd w:val="clear" w:color="auto" w:fill="FFFFFF"/>
          <w:lang w:val="en-US" w:eastAsia="zh-CN" w:bidi="ar-SA"/>
        </w:rPr>
      </w:pPr>
      <w:r>
        <w:rPr>
          <w:rFonts w:hint="default" w:ascii="仿宋_GB2312" w:hAnsi="Times New Roman" w:eastAsia="仿宋_GB2312" w:cs="Times New Roman"/>
          <w:color w:val="000000"/>
          <w:kern w:val="2"/>
          <w:sz w:val="32"/>
          <w:szCs w:val="32"/>
          <w:highlight w:val="none"/>
          <w:shd w:val="clear" w:color="auto" w:fill="FFFFFF"/>
          <w:lang w:val="en-US" w:eastAsia="zh-CN" w:bidi="ar-SA"/>
        </w:rPr>
        <w:t>（5）循环系统：采用优质循环水泵</w:t>
      </w:r>
    </w:p>
    <w:p>
      <w:pPr>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该太阳能系统设计的特点：</w:t>
      </w:r>
    </w:p>
    <w:p>
      <w:pPr>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1、不怕低温冻坏；不怕高温过热；不怕跑冒滴漏；不怕系统炸管；</w:t>
      </w:r>
    </w:p>
    <w:p>
      <w:pPr>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2、运行可靠、安全、操作简单、保障措施完善、维护方便，主要技术点如下：</w:t>
      </w:r>
    </w:p>
    <w:p>
      <w:pPr>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3、本地属于太阳能资源Ⅱ类地区，太阳能资源丰富，优先采用太阳能热源，其他能源为辅的供热方式。</w:t>
      </w:r>
    </w:p>
    <w:p>
      <w:pPr>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4、系统安全可靠，低温不会冻管，高温不产生爆沸高压等现象，可靠安全。</w:t>
      </w:r>
    </w:p>
    <w:p>
      <w:pPr>
        <w:ind w:firstLine="640" w:firstLineChars="200"/>
        <w:rPr>
          <w:rFonts w:ascii="仿宋_GB2312" w:hAnsi="Times New Roman" w:eastAsia="仿宋_GB2312" w:cs="Times New Roman"/>
          <w:color w:val="000000"/>
          <w:sz w:val="32"/>
          <w:szCs w:val="32"/>
          <w:shd w:val="clear" w:color="auto" w:fill="FFFFFF"/>
          <w14:ligatures w14:val="none"/>
        </w:rPr>
      </w:pPr>
      <w:r>
        <w:rPr>
          <w:rFonts w:hint="eastAsia" w:ascii="仿宋_GB2312" w:hAnsi="Times New Roman" w:eastAsia="仿宋_GB2312" w:cs="Times New Roman"/>
          <w:color w:val="000000"/>
          <w:sz w:val="32"/>
          <w:szCs w:val="32"/>
          <w:shd w:val="clear" w:color="auto" w:fill="FFFFFF"/>
          <w14:ligatures w14:val="none"/>
        </w:rPr>
        <w:t>5、在</w:t>
      </w:r>
      <w:r>
        <w:rPr>
          <w:rFonts w:hint="eastAsia" w:ascii="仿宋_GB2312" w:eastAsia="仿宋_GB2312" w:cs="Times New Roman"/>
          <w:color w:val="000000"/>
          <w:sz w:val="32"/>
          <w:szCs w:val="32"/>
          <w:shd w:val="clear" w:color="auto" w:fill="FFFFFF"/>
          <w:lang w:val="en-US" w:eastAsia="zh-CN"/>
          <w14:ligatures w14:val="none"/>
        </w:rPr>
        <w:t>养殖期间</w:t>
      </w:r>
      <w:r>
        <w:rPr>
          <w:rFonts w:hint="eastAsia" w:ascii="仿宋_GB2312" w:hAnsi="Times New Roman" w:eastAsia="仿宋_GB2312" w:cs="Times New Roman"/>
          <w:color w:val="000000"/>
          <w:sz w:val="32"/>
          <w:szCs w:val="32"/>
          <w:shd w:val="clear" w:color="auto" w:fill="FFFFFF"/>
          <w14:ligatures w14:val="none"/>
        </w:rPr>
        <w:t>供暖，可以充分利用太阳能资源，提高经济效益。</w:t>
      </w:r>
    </w:p>
    <w:p>
      <w:pPr>
        <w:adjustRightInd w:val="0"/>
        <w:spacing w:line="312" w:lineRule="auto"/>
        <w:ind w:firstLine="640" w:firstLineChars="200"/>
        <w:textAlignment w:val="baseline"/>
        <w:rPr>
          <w:rFonts w:ascii="仿宋_GB2312" w:hAnsi="Times New Roman" w:eastAsia="仿宋_GB2312" w:cs="Times New Roman"/>
          <w:color w:val="000000"/>
          <w:sz w:val="32"/>
          <w:szCs w:val="32"/>
          <w:shd w:val="clear" w:color="auto" w:fill="FFFFFF"/>
          <w14:ligatures w14:val="none"/>
        </w:rPr>
      </w:pPr>
      <w:r>
        <w:rPr>
          <w:rFonts w:hint="eastAsia" w:ascii="仿宋_GB2312" w:eastAsia="仿宋_GB2312" w:cs="Times New Roman"/>
          <w:color w:val="000000"/>
          <w:sz w:val="32"/>
          <w:szCs w:val="32"/>
          <w:shd w:val="clear" w:color="auto" w:fill="FFFFFF"/>
          <w:lang w:val="en-US" w:eastAsia="zh-CN"/>
          <w14:ligatures w14:val="none"/>
        </w:rPr>
        <w:t>6</w:t>
      </w:r>
      <w:r>
        <w:rPr>
          <w:rFonts w:hint="eastAsia" w:ascii="仿宋_GB2312" w:hAnsi="Times New Roman" w:eastAsia="仿宋_GB2312" w:cs="Times New Roman"/>
          <w:color w:val="000000"/>
          <w:sz w:val="32"/>
          <w:szCs w:val="32"/>
          <w:shd w:val="clear" w:color="auto" w:fill="FFFFFF"/>
          <w14:ligatures w14:val="none"/>
        </w:rPr>
        <w:t>、空气源热泵供暖期能效比平均可达1：3以上，比单纯使用电供暖可节约2/3。</w:t>
      </w:r>
    </w:p>
    <w:p>
      <w:pPr>
        <w:pStyle w:val="12"/>
        <w:jc w:val="both"/>
        <w:rPr>
          <w:rFonts w:hint="default" w:ascii="仿宋_GB2312" w:hAnsi="Times New Roman" w:eastAsia="仿宋_GB2312" w:cs="Times New Roman"/>
          <w:color w:val="000000"/>
          <w:kern w:val="2"/>
          <w:sz w:val="32"/>
          <w:szCs w:val="32"/>
          <w:highlight w:val="none"/>
          <w:shd w:val="clear" w:color="auto" w:fill="FFFFFF"/>
          <w:lang w:val="en-US" w:eastAsia="zh-CN" w:bidi="ar-SA"/>
        </w:rPr>
      </w:pPr>
    </w:p>
    <w:p>
      <w:pPr>
        <w:pStyle w:val="4"/>
        <w:bidi w:val="0"/>
        <w:rPr>
          <w:rFonts w:ascii="仿宋_GB2312" w:hAnsi="Times New Roman" w:eastAsia="仿宋_GB2312" w:cs="Times New Roman"/>
          <w:color w:val="000000"/>
          <w:szCs w:val="32"/>
          <w:highlight w:val="none"/>
          <w:shd w:val="clear" w:color="auto" w:fill="FFFFFF"/>
        </w:rPr>
      </w:pPr>
      <w:bookmarkStart w:id="36" w:name="_Toc5695"/>
      <w:r>
        <w:rPr>
          <w:rFonts w:hint="eastAsia"/>
          <w:lang w:eastAsia="zh-CN"/>
        </w:rPr>
        <w:t>（四）项目建设时间安排</w:t>
      </w:r>
      <w:bookmarkEnd w:id="36"/>
    </w:p>
    <w:p>
      <w:pPr>
        <w:pStyle w:val="12"/>
        <w:keepNext w:val="0"/>
        <w:keepLines w:val="0"/>
        <w:pageBreakBefore w:val="0"/>
        <w:widowControl w:val="0"/>
        <w:kinsoku/>
        <w:wordWrap/>
        <w:overflowPunct/>
        <w:topLinePunct w:val="0"/>
        <w:bidi w:val="0"/>
        <w:snapToGrid/>
        <w:spacing w:line="360" w:lineRule="auto"/>
        <w:ind w:firstLine="640" w:firstLineChars="200"/>
        <w:jc w:val="left"/>
        <w:textAlignment w:val="auto"/>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2026年3月31日前编制完成实施方案；2026年4月30日前完成方案的评审批复和工程前期准备工作；2026年5月30日前完成评审招投标工作；2026年6月30日前完成设备购买；2026年9月完成后续扫尾、调试、保温处理等工作；2026年10月工程竣工试运行；2026年11月完成项目验收与总结。</w:t>
      </w:r>
    </w:p>
    <w:p>
      <w:pPr>
        <w:keepNext w:val="0"/>
        <w:keepLines w:val="0"/>
        <w:pageBreakBefore w:val="0"/>
        <w:kinsoku/>
        <w:wordWrap/>
        <w:overflowPunct/>
        <w:topLinePunct w:val="0"/>
        <w:bidi w:val="0"/>
        <w:spacing w:before="0" w:after="0" w:line="600" w:lineRule="exact"/>
        <w:ind w:right="0"/>
        <w:jc w:val="center"/>
        <w:textAlignment w:val="auto"/>
        <w:outlineLvl w:val="9"/>
        <w:rPr>
          <w:rFonts w:hint="eastAsia"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项目实施进度安排表</w:t>
      </w:r>
    </w:p>
    <w:tbl>
      <w:tblPr>
        <w:tblStyle w:val="10"/>
        <w:tblpPr w:leftFromText="180" w:rightFromText="180" w:vertAnchor="text" w:horzAnchor="page" w:tblpX="1403" w:tblpY="199"/>
        <w:tblOverlap w:val="never"/>
        <w:tblW w:w="92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4"/>
        <w:gridCol w:w="2354"/>
        <w:gridCol w:w="1272"/>
        <w:gridCol w:w="1272"/>
        <w:gridCol w:w="1272"/>
        <w:gridCol w:w="1273"/>
        <w:gridCol w:w="9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814" w:type="dxa"/>
            <w:vMerge w:val="restart"/>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rPr>
              <w:t>序号</w:t>
            </w:r>
          </w:p>
        </w:tc>
        <w:tc>
          <w:tcPr>
            <w:tcW w:w="2354" w:type="dxa"/>
            <w:vMerge w:val="restart"/>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rPr>
              <w:t>工作阶段</w:t>
            </w:r>
          </w:p>
        </w:tc>
        <w:tc>
          <w:tcPr>
            <w:tcW w:w="6068" w:type="dxa"/>
            <w:gridSpan w:val="5"/>
            <w:tcBorders>
              <w:bottom w:val="single" w:color="auto" w:sz="8" w:space="0"/>
            </w:tcBorders>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rPr>
              <w:t>项目实施进度计划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814" w:type="dxa"/>
            <w:vMerge w:val="continue"/>
            <w:noWrap w:val="0"/>
            <w:vAlign w:val="center"/>
          </w:tcPr>
          <w:p>
            <w:pPr>
              <w:spacing w:line="560" w:lineRule="exact"/>
              <w:jc w:val="center"/>
              <w:rPr>
                <w:rFonts w:hint="eastAsia" w:ascii="仿宋" w:hAnsi="仿宋" w:eastAsia="仿宋" w:cs="宋体"/>
                <w:b/>
                <w:color w:val="000000"/>
                <w:sz w:val="32"/>
                <w:szCs w:val="32"/>
              </w:rPr>
            </w:pPr>
          </w:p>
        </w:tc>
        <w:tc>
          <w:tcPr>
            <w:tcW w:w="2354" w:type="dxa"/>
            <w:vMerge w:val="continue"/>
            <w:noWrap w:val="0"/>
            <w:vAlign w:val="center"/>
          </w:tcPr>
          <w:p>
            <w:pPr>
              <w:spacing w:line="560" w:lineRule="exact"/>
              <w:jc w:val="center"/>
              <w:rPr>
                <w:rFonts w:hint="eastAsia" w:ascii="仿宋" w:hAnsi="仿宋" w:eastAsia="仿宋" w:cs="宋体"/>
                <w:b/>
                <w:color w:val="000000"/>
                <w:sz w:val="32"/>
                <w:szCs w:val="32"/>
              </w:rPr>
            </w:pPr>
          </w:p>
        </w:tc>
        <w:tc>
          <w:tcPr>
            <w:tcW w:w="1272" w:type="dxa"/>
            <w:tcBorders>
              <w:top w:val="single" w:color="auto" w:sz="8" w:space="0"/>
            </w:tcBorders>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lang w:val="en-US" w:eastAsia="zh-CN"/>
              </w:rPr>
              <w:t>1-2</w:t>
            </w:r>
            <w:r>
              <w:rPr>
                <w:rFonts w:hint="eastAsia" w:ascii="仿宋" w:hAnsi="仿宋" w:eastAsia="仿宋" w:cs="宋体"/>
                <w:b/>
                <w:color w:val="000000"/>
                <w:sz w:val="32"/>
                <w:szCs w:val="32"/>
              </w:rPr>
              <w:t>月</w:t>
            </w:r>
          </w:p>
        </w:tc>
        <w:tc>
          <w:tcPr>
            <w:tcW w:w="1272" w:type="dxa"/>
            <w:tcBorders>
              <w:top w:val="single" w:color="auto" w:sz="8" w:space="0"/>
            </w:tcBorders>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lang w:val="en-US" w:eastAsia="zh-CN"/>
              </w:rPr>
              <w:t>3-4</w:t>
            </w:r>
            <w:r>
              <w:rPr>
                <w:rFonts w:hint="eastAsia" w:ascii="仿宋" w:hAnsi="仿宋" w:eastAsia="仿宋" w:cs="宋体"/>
                <w:b/>
                <w:color w:val="000000"/>
                <w:sz w:val="32"/>
                <w:szCs w:val="32"/>
              </w:rPr>
              <w:t>月</w:t>
            </w:r>
          </w:p>
        </w:tc>
        <w:tc>
          <w:tcPr>
            <w:tcW w:w="1272" w:type="dxa"/>
            <w:tcBorders>
              <w:top w:val="single" w:color="auto" w:sz="8" w:space="0"/>
            </w:tcBorders>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lang w:val="en-US" w:eastAsia="zh-CN"/>
              </w:rPr>
              <w:t>5</w:t>
            </w:r>
            <w:r>
              <w:rPr>
                <w:rFonts w:hint="eastAsia" w:ascii="仿宋" w:hAnsi="仿宋" w:eastAsia="仿宋" w:cs="宋体"/>
                <w:b/>
                <w:color w:val="000000"/>
                <w:sz w:val="32"/>
                <w:szCs w:val="32"/>
              </w:rPr>
              <w:t>-</w:t>
            </w:r>
            <w:r>
              <w:rPr>
                <w:rFonts w:hint="eastAsia" w:ascii="仿宋" w:hAnsi="仿宋" w:eastAsia="仿宋" w:cs="宋体"/>
                <w:b/>
                <w:color w:val="000000"/>
                <w:sz w:val="32"/>
                <w:szCs w:val="32"/>
                <w:lang w:val="en-US" w:eastAsia="zh-CN"/>
              </w:rPr>
              <w:t>9</w:t>
            </w:r>
            <w:r>
              <w:rPr>
                <w:rFonts w:hint="eastAsia" w:ascii="仿宋" w:hAnsi="仿宋" w:eastAsia="仿宋" w:cs="宋体"/>
                <w:b/>
                <w:color w:val="000000"/>
                <w:sz w:val="32"/>
                <w:szCs w:val="32"/>
              </w:rPr>
              <w:t>月</w:t>
            </w:r>
          </w:p>
        </w:tc>
        <w:tc>
          <w:tcPr>
            <w:tcW w:w="1273" w:type="dxa"/>
            <w:tcBorders>
              <w:top w:val="single" w:color="auto" w:sz="8" w:space="0"/>
            </w:tcBorders>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lang w:val="en-US" w:eastAsia="zh-CN"/>
              </w:rPr>
              <w:t>10-</w:t>
            </w:r>
            <w:r>
              <w:rPr>
                <w:rFonts w:hint="eastAsia" w:ascii="仿宋" w:hAnsi="仿宋" w:eastAsia="仿宋" w:cs="宋体"/>
                <w:b/>
                <w:color w:val="000000"/>
                <w:sz w:val="32"/>
                <w:szCs w:val="32"/>
              </w:rPr>
              <w:t>月</w:t>
            </w:r>
          </w:p>
        </w:tc>
        <w:tc>
          <w:tcPr>
            <w:tcW w:w="979" w:type="dxa"/>
            <w:tcBorders>
              <w:top w:val="single" w:color="auto" w:sz="8" w:space="0"/>
            </w:tcBorders>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lang w:val="en-US" w:eastAsia="zh-CN"/>
              </w:rPr>
              <w:t>11</w:t>
            </w:r>
            <w:r>
              <w:rPr>
                <w:rFonts w:hint="eastAsia" w:ascii="仿宋" w:hAnsi="仿宋" w:eastAsia="仿宋" w:cs="宋体"/>
                <w:b/>
                <w:color w:val="000000"/>
                <w:sz w:val="32"/>
                <w:szCs w:val="32"/>
              </w:rPr>
              <w:t>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814" w:type="dxa"/>
            <w:noWrap w:val="0"/>
            <w:vAlign w:val="center"/>
          </w:tcPr>
          <w:p>
            <w:pPr>
              <w:spacing w:line="560" w:lineRule="exact"/>
              <w:jc w:val="center"/>
              <w:rPr>
                <w:rFonts w:hint="eastAsia" w:ascii="仿宋" w:hAnsi="仿宋" w:eastAsia="仿宋" w:cs="宋体"/>
                <w:color w:val="000000"/>
                <w:sz w:val="32"/>
                <w:szCs w:val="32"/>
              </w:rPr>
            </w:pPr>
            <w:r>
              <w:rPr>
                <w:rFonts w:hint="eastAsia" w:ascii="仿宋" w:hAnsi="仿宋" w:eastAsia="仿宋" w:cs="宋体"/>
                <w:color w:val="000000"/>
                <w:sz w:val="32"/>
                <w:szCs w:val="32"/>
              </w:rPr>
              <w:t>1</w:t>
            </w:r>
          </w:p>
        </w:tc>
        <w:tc>
          <w:tcPr>
            <w:tcW w:w="2354" w:type="dxa"/>
            <w:noWrap w:val="0"/>
            <w:vAlign w:val="center"/>
          </w:tcPr>
          <w:p>
            <w:pPr>
              <w:spacing w:line="560" w:lineRule="exact"/>
              <w:jc w:val="center"/>
              <w:rPr>
                <w:rFonts w:hint="eastAsia" w:ascii="仿宋" w:hAnsi="仿宋" w:eastAsia="仿宋" w:cs="宋体"/>
                <w:color w:val="000000"/>
                <w:sz w:val="32"/>
                <w:szCs w:val="32"/>
              </w:rPr>
            </w:pPr>
            <w:r>
              <w:rPr>
                <w:rFonts w:hint="eastAsia" w:ascii="仿宋" w:hAnsi="仿宋" w:eastAsia="仿宋" w:cs="宋体"/>
                <w:color w:val="000000"/>
                <w:sz w:val="32"/>
                <w:szCs w:val="32"/>
              </w:rPr>
              <w:t>方案编制、评审</w:t>
            </w:r>
          </w:p>
        </w:tc>
        <w:tc>
          <w:tcPr>
            <w:tcW w:w="1272" w:type="dxa"/>
            <w:noWrap w:val="0"/>
            <w:vAlign w:val="center"/>
          </w:tcPr>
          <w:p>
            <w:pPr>
              <w:spacing w:line="560" w:lineRule="exact"/>
              <w:jc w:val="center"/>
              <w:rPr>
                <w:rFonts w:hint="eastAsia" w:ascii="仿宋" w:hAnsi="仿宋" w:eastAsia="仿宋" w:cs="宋体"/>
                <w:b/>
                <w:color w:val="000000"/>
                <w:sz w:val="32"/>
                <w:szCs w:val="32"/>
              </w:rPr>
            </w:pPr>
          </w:p>
        </w:tc>
        <w:tc>
          <w:tcPr>
            <w:tcW w:w="1272" w:type="dxa"/>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rPr>
              <w:t>√</w:t>
            </w:r>
          </w:p>
        </w:tc>
        <w:tc>
          <w:tcPr>
            <w:tcW w:w="1272" w:type="dxa"/>
            <w:noWrap w:val="0"/>
            <w:vAlign w:val="center"/>
          </w:tcPr>
          <w:p>
            <w:pPr>
              <w:spacing w:line="560" w:lineRule="exact"/>
              <w:jc w:val="center"/>
              <w:rPr>
                <w:rFonts w:hint="eastAsia" w:ascii="仿宋" w:hAnsi="仿宋" w:eastAsia="仿宋" w:cs="宋体"/>
                <w:b/>
                <w:color w:val="000000"/>
                <w:sz w:val="32"/>
                <w:szCs w:val="32"/>
              </w:rPr>
            </w:pPr>
          </w:p>
        </w:tc>
        <w:tc>
          <w:tcPr>
            <w:tcW w:w="1273" w:type="dxa"/>
            <w:noWrap w:val="0"/>
            <w:vAlign w:val="center"/>
          </w:tcPr>
          <w:p>
            <w:pPr>
              <w:spacing w:line="560" w:lineRule="exact"/>
              <w:jc w:val="center"/>
              <w:rPr>
                <w:rFonts w:hint="eastAsia" w:ascii="仿宋" w:hAnsi="仿宋" w:eastAsia="仿宋" w:cs="宋体"/>
                <w:b/>
                <w:color w:val="000000"/>
                <w:sz w:val="32"/>
                <w:szCs w:val="32"/>
              </w:rPr>
            </w:pPr>
          </w:p>
        </w:tc>
        <w:tc>
          <w:tcPr>
            <w:tcW w:w="979" w:type="dxa"/>
            <w:noWrap w:val="0"/>
            <w:vAlign w:val="center"/>
          </w:tcPr>
          <w:p>
            <w:pPr>
              <w:spacing w:line="560" w:lineRule="exact"/>
              <w:jc w:val="center"/>
              <w:rPr>
                <w:rFonts w:hint="eastAsia" w:ascii="仿宋" w:hAnsi="仿宋" w:eastAsia="仿宋" w:cs="宋体"/>
                <w:b/>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814" w:type="dxa"/>
            <w:noWrap w:val="0"/>
            <w:vAlign w:val="center"/>
          </w:tcPr>
          <w:p>
            <w:pPr>
              <w:spacing w:line="560" w:lineRule="exact"/>
              <w:jc w:val="center"/>
              <w:rPr>
                <w:rFonts w:hint="eastAsia" w:ascii="仿宋" w:hAnsi="仿宋" w:eastAsia="仿宋" w:cs="宋体"/>
                <w:color w:val="000000"/>
                <w:sz w:val="32"/>
                <w:szCs w:val="32"/>
              </w:rPr>
            </w:pPr>
            <w:r>
              <w:rPr>
                <w:rFonts w:hint="eastAsia" w:ascii="仿宋" w:hAnsi="仿宋" w:eastAsia="仿宋" w:cs="宋体"/>
                <w:color w:val="000000"/>
                <w:sz w:val="32"/>
                <w:szCs w:val="32"/>
              </w:rPr>
              <w:t>2</w:t>
            </w:r>
          </w:p>
        </w:tc>
        <w:tc>
          <w:tcPr>
            <w:tcW w:w="2354" w:type="dxa"/>
            <w:noWrap w:val="0"/>
            <w:vAlign w:val="center"/>
          </w:tcPr>
          <w:p>
            <w:pPr>
              <w:spacing w:line="560" w:lineRule="exact"/>
              <w:jc w:val="center"/>
              <w:rPr>
                <w:rFonts w:hint="eastAsia" w:ascii="仿宋" w:hAnsi="仿宋" w:eastAsia="仿宋" w:cs="宋体"/>
                <w:color w:val="000000"/>
                <w:sz w:val="32"/>
                <w:szCs w:val="32"/>
              </w:rPr>
            </w:pPr>
            <w:r>
              <w:rPr>
                <w:rFonts w:hint="eastAsia" w:ascii="仿宋" w:hAnsi="仿宋" w:eastAsia="仿宋" w:cs="宋体"/>
                <w:color w:val="000000"/>
                <w:sz w:val="32"/>
                <w:szCs w:val="32"/>
              </w:rPr>
              <w:t>政府审批、招投标</w:t>
            </w:r>
          </w:p>
        </w:tc>
        <w:tc>
          <w:tcPr>
            <w:tcW w:w="1272" w:type="dxa"/>
            <w:noWrap w:val="0"/>
            <w:vAlign w:val="center"/>
          </w:tcPr>
          <w:p>
            <w:pPr>
              <w:spacing w:line="560" w:lineRule="exact"/>
              <w:jc w:val="center"/>
              <w:rPr>
                <w:rFonts w:hint="eastAsia" w:ascii="仿宋" w:hAnsi="仿宋" w:eastAsia="仿宋" w:cs="宋体"/>
                <w:b/>
                <w:color w:val="000000"/>
                <w:sz w:val="32"/>
                <w:szCs w:val="32"/>
              </w:rPr>
            </w:pPr>
          </w:p>
        </w:tc>
        <w:tc>
          <w:tcPr>
            <w:tcW w:w="1272" w:type="dxa"/>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rPr>
              <w:t>√</w:t>
            </w:r>
          </w:p>
        </w:tc>
        <w:tc>
          <w:tcPr>
            <w:tcW w:w="1272" w:type="dxa"/>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rPr>
              <w:t>√</w:t>
            </w:r>
          </w:p>
        </w:tc>
        <w:tc>
          <w:tcPr>
            <w:tcW w:w="1273" w:type="dxa"/>
            <w:noWrap w:val="0"/>
            <w:vAlign w:val="center"/>
          </w:tcPr>
          <w:p>
            <w:pPr>
              <w:spacing w:line="560" w:lineRule="exact"/>
              <w:jc w:val="center"/>
              <w:rPr>
                <w:rFonts w:hint="eastAsia" w:ascii="仿宋" w:hAnsi="仿宋" w:eastAsia="仿宋" w:cs="宋体"/>
                <w:b/>
                <w:color w:val="000000"/>
                <w:sz w:val="32"/>
                <w:szCs w:val="32"/>
              </w:rPr>
            </w:pPr>
          </w:p>
        </w:tc>
        <w:tc>
          <w:tcPr>
            <w:tcW w:w="979" w:type="dxa"/>
            <w:noWrap w:val="0"/>
            <w:vAlign w:val="center"/>
          </w:tcPr>
          <w:p>
            <w:pPr>
              <w:spacing w:line="560" w:lineRule="exact"/>
              <w:jc w:val="center"/>
              <w:rPr>
                <w:rFonts w:hint="eastAsia" w:ascii="仿宋" w:hAnsi="仿宋" w:eastAsia="仿宋" w:cs="宋体"/>
                <w:b/>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814" w:type="dxa"/>
            <w:noWrap w:val="0"/>
            <w:vAlign w:val="center"/>
          </w:tcPr>
          <w:p>
            <w:pPr>
              <w:spacing w:line="560" w:lineRule="exact"/>
              <w:jc w:val="center"/>
              <w:rPr>
                <w:rFonts w:hint="eastAsia" w:ascii="仿宋" w:hAnsi="仿宋" w:eastAsia="仿宋" w:cs="宋体"/>
                <w:color w:val="000000"/>
                <w:sz w:val="32"/>
                <w:szCs w:val="32"/>
              </w:rPr>
            </w:pPr>
            <w:r>
              <w:rPr>
                <w:rFonts w:hint="eastAsia" w:ascii="仿宋" w:hAnsi="仿宋" w:eastAsia="仿宋" w:cs="宋体"/>
                <w:color w:val="000000"/>
                <w:sz w:val="32"/>
                <w:szCs w:val="32"/>
              </w:rPr>
              <w:t>3</w:t>
            </w:r>
          </w:p>
        </w:tc>
        <w:tc>
          <w:tcPr>
            <w:tcW w:w="2354" w:type="dxa"/>
            <w:noWrap w:val="0"/>
            <w:vAlign w:val="center"/>
          </w:tcPr>
          <w:p>
            <w:pPr>
              <w:spacing w:line="560" w:lineRule="exact"/>
              <w:jc w:val="center"/>
              <w:rPr>
                <w:rFonts w:hint="eastAsia" w:ascii="仿宋" w:hAnsi="仿宋" w:eastAsia="仿宋" w:cs="宋体"/>
                <w:color w:val="000000"/>
                <w:sz w:val="32"/>
                <w:szCs w:val="32"/>
              </w:rPr>
            </w:pPr>
            <w:r>
              <w:rPr>
                <w:rFonts w:hint="eastAsia" w:ascii="仿宋" w:hAnsi="仿宋" w:eastAsia="仿宋" w:cs="宋体"/>
                <w:color w:val="000000"/>
                <w:sz w:val="32"/>
                <w:szCs w:val="32"/>
              </w:rPr>
              <w:t>项目建设实施</w:t>
            </w:r>
          </w:p>
        </w:tc>
        <w:tc>
          <w:tcPr>
            <w:tcW w:w="1272" w:type="dxa"/>
            <w:noWrap w:val="0"/>
            <w:vAlign w:val="center"/>
          </w:tcPr>
          <w:p>
            <w:pPr>
              <w:spacing w:line="560" w:lineRule="exact"/>
              <w:jc w:val="center"/>
              <w:rPr>
                <w:rFonts w:hint="eastAsia" w:ascii="仿宋" w:hAnsi="仿宋" w:eastAsia="仿宋" w:cs="宋体"/>
                <w:b/>
                <w:color w:val="000000"/>
                <w:sz w:val="32"/>
                <w:szCs w:val="32"/>
              </w:rPr>
            </w:pPr>
          </w:p>
        </w:tc>
        <w:tc>
          <w:tcPr>
            <w:tcW w:w="1272" w:type="dxa"/>
            <w:noWrap w:val="0"/>
            <w:vAlign w:val="center"/>
          </w:tcPr>
          <w:p>
            <w:pPr>
              <w:spacing w:line="560" w:lineRule="exact"/>
              <w:jc w:val="center"/>
              <w:rPr>
                <w:rFonts w:hint="eastAsia" w:ascii="仿宋" w:hAnsi="仿宋" w:eastAsia="仿宋" w:cs="宋体"/>
                <w:b/>
                <w:color w:val="000000"/>
                <w:sz w:val="32"/>
                <w:szCs w:val="32"/>
              </w:rPr>
            </w:pPr>
          </w:p>
        </w:tc>
        <w:tc>
          <w:tcPr>
            <w:tcW w:w="1272" w:type="dxa"/>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rPr>
              <w:t>√</w:t>
            </w:r>
          </w:p>
        </w:tc>
        <w:tc>
          <w:tcPr>
            <w:tcW w:w="1273" w:type="dxa"/>
            <w:noWrap w:val="0"/>
            <w:vAlign w:val="center"/>
          </w:tcPr>
          <w:p>
            <w:pPr>
              <w:spacing w:line="560" w:lineRule="exact"/>
              <w:jc w:val="center"/>
              <w:rPr>
                <w:rFonts w:hint="eastAsia" w:ascii="仿宋" w:hAnsi="仿宋" w:eastAsia="仿宋" w:cs="宋体"/>
                <w:b/>
                <w:color w:val="000000"/>
                <w:sz w:val="32"/>
                <w:szCs w:val="32"/>
              </w:rPr>
            </w:pPr>
          </w:p>
        </w:tc>
        <w:tc>
          <w:tcPr>
            <w:tcW w:w="979" w:type="dxa"/>
            <w:noWrap w:val="0"/>
            <w:vAlign w:val="center"/>
          </w:tcPr>
          <w:p>
            <w:pPr>
              <w:spacing w:line="560" w:lineRule="exact"/>
              <w:jc w:val="center"/>
              <w:rPr>
                <w:rFonts w:hint="eastAsia" w:ascii="仿宋" w:hAnsi="仿宋" w:eastAsia="仿宋" w:cs="宋体"/>
                <w:b/>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814" w:type="dxa"/>
            <w:noWrap w:val="0"/>
            <w:vAlign w:val="center"/>
          </w:tcPr>
          <w:p>
            <w:pPr>
              <w:spacing w:line="560" w:lineRule="exact"/>
              <w:jc w:val="center"/>
              <w:rPr>
                <w:rFonts w:hint="eastAsia" w:ascii="仿宋" w:hAnsi="仿宋" w:eastAsia="仿宋" w:cs="宋体"/>
                <w:color w:val="000000"/>
                <w:sz w:val="32"/>
                <w:szCs w:val="32"/>
              </w:rPr>
            </w:pPr>
            <w:r>
              <w:rPr>
                <w:rFonts w:hint="eastAsia" w:ascii="仿宋" w:hAnsi="仿宋" w:eastAsia="仿宋" w:cs="宋体"/>
                <w:color w:val="000000"/>
                <w:sz w:val="32"/>
                <w:szCs w:val="32"/>
              </w:rPr>
              <w:t>4</w:t>
            </w:r>
          </w:p>
        </w:tc>
        <w:tc>
          <w:tcPr>
            <w:tcW w:w="2354" w:type="dxa"/>
            <w:noWrap w:val="0"/>
            <w:vAlign w:val="center"/>
          </w:tcPr>
          <w:p>
            <w:pPr>
              <w:spacing w:line="560" w:lineRule="exact"/>
              <w:jc w:val="center"/>
              <w:rPr>
                <w:rFonts w:hint="eastAsia" w:ascii="仿宋" w:hAnsi="仿宋" w:eastAsia="仿宋" w:cs="宋体"/>
                <w:color w:val="000000"/>
                <w:sz w:val="32"/>
                <w:szCs w:val="32"/>
              </w:rPr>
            </w:pPr>
            <w:r>
              <w:rPr>
                <w:rFonts w:hint="eastAsia" w:ascii="仿宋" w:hAnsi="仿宋" w:eastAsia="仿宋" w:cs="宋体"/>
                <w:color w:val="000000"/>
                <w:sz w:val="32"/>
                <w:szCs w:val="32"/>
              </w:rPr>
              <w:t>初验、运行检测记录</w:t>
            </w:r>
          </w:p>
        </w:tc>
        <w:tc>
          <w:tcPr>
            <w:tcW w:w="1272" w:type="dxa"/>
            <w:noWrap w:val="0"/>
            <w:vAlign w:val="center"/>
          </w:tcPr>
          <w:p>
            <w:pPr>
              <w:spacing w:line="560" w:lineRule="exact"/>
              <w:jc w:val="center"/>
              <w:rPr>
                <w:rFonts w:hint="eastAsia" w:ascii="仿宋" w:hAnsi="仿宋" w:eastAsia="仿宋" w:cs="宋体"/>
                <w:b/>
                <w:color w:val="000000"/>
                <w:sz w:val="32"/>
                <w:szCs w:val="32"/>
              </w:rPr>
            </w:pPr>
          </w:p>
        </w:tc>
        <w:tc>
          <w:tcPr>
            <w:tcW w:w="1272" w:type="dxa"/>
            <w:noWrap w:val="0"/>
            <w:vAlign w:val="center"/>
          </w:tcPr>
          <w:p>
            <w:pPr>
              <w:spacing w:line="560" w:lineRule="exact"/>
              <w:jc w:val="center"/>
              <w:rPr>
                <w:rFonts w:hint="eastAsia" w:ascii="仿宋" w:hAnsi="仿宋" w:eastAsia="仿宋" w:cs="宋体"/>
                <w:b/>
                <w:color w:val="000000"/>
                <w:sz w:val="32"/>
                <w:szCs w:val="32"/>
              </w:rPr>
            </w:pPr>
          </w:p>
        </w:tc>
        <w:tc>
          <w:tcPr>
            <w:tcW w:w="1272" w:type="dxa"/>
            <w:noWrap w:val="0"/>
            <w:vAlign w:val="center"/>
          </w:tcPr>
          <w:p>
            <w:pPr>
              <w:spacing w:line="560" w:lineRule="exact"/>
              <w:jc w:val="center"/>
              <w:rPr>
                <w:rFonts w:hint="eastAsia" w:ascii="仿宋" w:hAnsi="仿宋" w:eastAsia="仿宋" w:cs="宋体"/>
                <w:b/>
                <w:color w:val="000000"/>
                <w:sz w:val="32"/>
                <w:szCs w:val="32"/>
              </w:rPr>
            </w:pPr>
          </w:p>
        </w:tc>
        <w:tc>
          <w:tcPr>
            <w:tcW w:w="1273" w:type="dxa"/>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rPr>
              <w:t>√</w:t>
            </w:r>
          </w:p>
        </w:tc>
        <w:tc>
          <w:tcPr>
            <w:tcW w:w="979" w:type="dxa"/>
            <w:noWrap w:val="0"/>
            <w:vAlign w:val="center"/>
          </w:tcPr>
          <w:p>
            <w:pPr>
              <w:spacing w:line="560" w:lineRule="exact"/>
              <w:jc w:val="center"/>
              <w:rPr>
                <w:rFonts w:hint="eastAsia" w:ascii="仿宋" w:hAnsi="仿宋" w:eastAsia="仿宋" w:cs="宋体"/>
                <w:b/>
                <w:color w:val="00000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814" w:type="dxa"/>
            <w:noWrap w:val="0"/>
            <w:vAlign w:val="center"/>
          </w:tcPr>
          <w:p>
            <w:pPr>
              <w:spacing w:line="560" w:lineRule="exact"/>
              <w:jc w:val="center"/>
              <w:rPr>
                <w:rFonts w:hint="eastAsia" w:ascii="仿宋" w:hAnsi="仿宋" w:eastAsia="仿宋" w:cs="宋体"/>
                <w:color w:val="000000"/>
                <w:sz w:val="32"/>
                <w:szCs w:val="32"/>
              </w:rPr>
            </w:pPr>
            <w:r>
              <w:rPr>
                <w:rFonts w:hint="eastAsia" w:ascii="仿宋" w:hAnsi="仿宋" w:eastAsia="仿宋" w:cs="宋体"/>
                <w:color w:val="000000"/>
                <w:sz w:val="32"/>
                <w:szCs w:val="32"/>
              </w:rPr>
              <w:t>5</w:t>
            </w:r>
          </w:p>
        </w:tc>
        <w:tc>
          <w:tcPr>
            <w:tcW w:w="2354" w:type="dxa"/>
            <w:noWrap w:val="0"/>
            <w:vAlign w:val="center"/>
          </w:tcPr>
          <w:p>
            <w:pPr>
              <w:spacing w:line="560" w:lineRule="exact"/>
              <w:jc w:val="center"/>
              <w:rPr>
                <w:rFonts w:hint="eastAsia" w:ascii="仿宋" w:hAnsi="仿宋" w:eastAsia="仿宋" w:cs="宋体"/>
                <w:color w:val="000000"/>
                <w:sz w:val="32"/>
                <w:szCs w:val="32"/>
              </w:rPr>
            </w:pPr>
            <w:r>
              <w:rPr>
                <w:rFonts w:hint="eastAsia" w:ascii="仿宋" w:hAnsi="仿宋" w:eastAsia="仿宋" w:cs="宋体"/>
                <w:color w:val="000000"/>
                <w:sz w:val="32"/>
                <w:szCs w:val="32"/>
              </w:rPr>
              <w:t>验收总结</w:t>
            </w:r>
          </w:p>
        </w:tc>
        <w:tc>
          <w:tcPr>
            <w:tcW w:w="1272" w:type="dxa"/>
            <w:noWrap w:val="0"/>
            <w:vAlign w:val="center"/>
          </w:tcPr>
          <w:p>
            <w:pPr>
              <w:spacing w:line="560" w:lineRule="exact"/>
              <w:jc w:val="center"/>
              <w:rPr>
                <w:rFonts w:hint="eastAsia" w:ascii="仿宋" w:hAnsi="仿宋" w:eastAsia="仿宋" w:cs="宋体"/>
                <w:b/>
                <w:color w:val="000000"/>
                <w:sz w:val="32"/>
                <w:szCs w:val="32"/>
              </w:rPr>
            </w:pPr>
          </w:p>
        </w:tc>
        <w:tc>
          <w:tcPr>
            <w:tcW w:w="1272" w:type="dxa"/>
            <w:noWrap w:val="0"/>
            <w:vAlign w:val="center"/>
          </w:tcPr>
          <w:p>
            <w:pPr>
              <w:spacing w:line="560" w:lineRule="exact"/>
              <w:jc w:val="center"/>
              <w:rPr>
                <w:rFonts w:hint="eastAsia" w:ascii="仿宋" w:hAnsi="仿宋" w:eastAsia="仿宋" w:cs="宋体"/>
                <w:b/>
                <w:color w:val="000000"/>
                <w:sz w:val="32"/>
                <w:szCs w:val="32"/>
              </w:rPr>
            </w:pPr>
          </w:p>
        </w:tc>
        <w:tc>
          <w:tcPr>
            <w:tcW w:w="1272" w:type="dxa"/>
            <w:noWrap w:val="0"/>
            <w:vAlign w:val="center"/>
          </w:tcPr>
          <w:p>
            <w:pPr>
              <w:spacing w:line="560" w:lineRule="exact"/>
              <w:jc w:val="center"/>
              <w:rPr>
                <w:rFonts w:hint="eastAsia" w:ascii="仿宋" w:hAnsi="仿宋" w:eastAsia="仿宋" w:cs="宋体"/>
                <w:b/>
                <w:color w:val="000000"/>
                <w:sz w:val="32"/>
                <w:szCs w:val="32"/>
              </w:rPr>
            </w:pPr>
          </w:p>
        </w:tc>
        <w:tc>
          <w:tcPr>
            <w:tcW w:w="1273" w:type="dxa"/>
            <w:noWrap w:val="0"/>
            <w:vAlign w:val="center"/>
          </w:tcPr>
          <w:p>
            <w:pPr>
              <w:spacing w:line="560" w:lineRule="exact"/>
              <w:jc w:val="center"/>
              <w:rPr>
                <w:rFonts w:hint="eastAsia" w:ascii="仿宋" w:hAnsi="仿宋" w:eastAsia="仿宋" w:cs="宋体"/>
                <w:b/>
                <w:color w:val="000000"/>
                <w:sz w:val="32"/>
                <w:szCs w:val="32"/>
              </w:rPr>
            </w:pPr>
          </w:p>
        </w:tc>
        <w:tc>
          <w:tcPr>
            <w:tcW w:w="979" w:type="dxa"/>
            <w:noWrap w:val="0"/>
            <w:vAlign w:val="center"/>
          </w:tcPr>
          <w:p>
            <w:pPr>
              <w:spacing w:line="560" w:lineRule="exact"/>
              <w:jc w:val="center"/>
              <w:rPr>
                <w:rFonts w:hint="eastAsia" w:ascii="仿宋" w:hAnsi="仿宋" w:eastAsia="仿宋" w:cs="宋体"/>
                <w:b/>
                <w:color w:val="000000"/>
                <w:sz w:val="32"/>
                <w:szCs w:val="32"/>
              </w:rPr>
            </w:pPr>
            <w:r>
              <w:rPr>
                <w:rFonts w:hint="eastAsia" w:ascii="仿宋" w:hAnsi="仿宋" w:eastAsia="仿宋" w:cs="宋体"/>
                <w:b/>
                <w:color w:val="000000"/>
                <w:sz w:val="32"/>
                <w:szCs w:val="32"/>
              </w:rPr>
              <w:t>√</w:t>
            </w:r>
          </w:p>
        </w:tc>
      </w:tr>
    </w:tbl>
    <w:p>
      <w:pPr>
        <w:pStyle w:val="4"/>
        <w:bidi w:val="0"/>
        <w:rPr>
          <w:rFonts w:hint="eastAsia"/>
          <w:lang w:val="en-US" w:eastAsia="zh-CN"/>
        </w:rPr>
      </w:pPr>
      <w:bookmarkStart w:id="37" w:name="_Toc2804"/>
      <w:r>
        <w:rPr>
          <w:rFonts w:hint="eastAsia"/>
          <w:lang w:val="en-US" w:eastAsia="zh-CN"/>
        </w:rPr>
        <w:t>（五）建设实施绩效目标</w:t>
      </w:r>
      <w:bookmarkEnd w:id="37"/>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绩效目标</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（1）新增8台空气能热泵及太阳能集热系统等设施设备和管网铺设改造。</w:t>
      </w:r>
    </w:p>
    <w:p>
      <w:pPr>
        <w:pStyle w:val="12"/>
        <w:ind w:firstLine="640" w:firstLineChars="200"/>
        <w:jc w:val="both"/>
        <w:rPr>
          <w:rFonts w:hint="default"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（2）通过“太阳能+空气能”为总建筑面积10200㎡的鸡舍达到供暖条件，保证鸡舍的稳定运行</w:t>
      </w:r>
      <w:r>
        <w:rPr>
          <w:rFonts w:hint="default" w:ascii="仿宋_GB2312" w:hAnsi="Times New Roman" w:eastAsia="仿宋_GB2312" w:cs="Times New Roman"/>
          <w:color w:val="000000"/>
          <w:kern w:val="2"/>
          <w:sz w:val="32"/>
          <w:szCs w:val="32"/>
          <w:highlight w:val="none"/>
          <w:shd w:val="clear" w:color="auto" w:fill="FFFFFF"/>
          <w:lang w:val="en-US" w:eastAsia="zh-CN" w:bidi="ar-SA"/>
        </w:rPr>
        <w:t>。</w:t>
      </w:r>
    </w:p>
    <w:p>
      <w:pPr>
        <w:pStyle w:val="4"/>
        <w:bidi w:val="0"/>
        <w:rPr>
          <w:rFonts w:hint="eastAsia"/>
          <w:lang w:val="en-US" w:eastAsia="zh-CN"/>
        </w:rPr>
      </w:pPr>
      <w:bookmarkStart w:id="38" w:name="_Toc6342"/>
      <w:r>
        <w:rPr>
          <w:rFonts w:hint="eastAsia"/>
          <w:lang w:val="en-US" w:eastAsia="zh-CN"/>
        </w:rPr>
        <w:t>（六）环境影响</w:t>
      </w:r>
      <w:bookmarkEnd w:id="38"/>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项目建设单位已按照肉鸡标准化规模养殖场的建设标准要求进行建设规划，符合生产、防疫和排污、环保要求。建设项目符合当地乡镇土地利用总体规划要求，同时也符合当地市畜牧产业布局要求。主要的污染阶段为建设期的污染。</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1.声环境影响分析</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本项目可能产生噪声的主要是施工期间的噪声影响。施工期间尽量选取在日间施工，以防打扰居民休息。必要的设置隔音设施，以避免噪声对周边环境的影响。噪声主要是建筑施工设备、重型运输车辆等产生的机械噪声和运行阶段风机等设备运转时振动造成的，其强度约在75~85dB 范围。</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2.扬尘和建筑垃圾</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项目建设中将产生一些灰土扬尘和少量的建筑垃圾。</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3.大气影响分析</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本项目多属于室内安装工程，施工过程不对大气造成影响。项目完成后，供暖运行时，锅炉流程后面设有除尘和喷淋装置，减少粉尘排放。</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4.水环境影响分析</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本项目多属于安装工程，施工过程不对水资源造成影响。</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5.环境影响评价</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项目施工过程中产生的废弃物是不可避免的，我们应该集中处理，及时的妥善处置。</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项目建设地点远离市区，场区四周为农田，养殖场生产污水经处理达标后，可浇灌场区周边农田。鸡粪是养殖场产生的主要污染物，该项目将优先安排粪污处理设施建设，并达到环保部门相关要求，达标排放，对周围环境无不利影响，符合《畜禽养殖业污染排放标准 GB18596》。</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 xml:space="preserve">6.环保措施 </w:t>
      </w:r>
    </w:p>
    <w:p>
      <w:pPr>
        <w:pStyle w:val="12"/>
        <w:ind w:firstLine="640" w:firstLineChars="200"/>
        <w:jc w:val="both"/>
        <w:rPr>
          <w:rFonts w:hint="default"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施工时应严格控制施工作业范围，避免过多破坏已有房屋建筑；建设过程中产生的废水经就近挖坑沉淀处理后排出；产生的扬尘进行定时洒水降尘；建设产生的固体废物要集中收集，及时运送至固定地点进行妥善处置；施工过程中，施工单位应按国家关于建筑施工厂界噪声的要求进行施工，并尽量分散噪声源，采用低噪声机械，同时也可以在周围设立临时的声障装置，把影响降到最低程度。达到《建筑施工场界噪声限值》的要求。上</w:t>
      </w:r>
      <w:r>
        <w:rPr>
          <w:rFonts w:hint="default" w:ascii="仿宋_GB2312" w:hAnsi="Times New Roman" w:eastAsia="仿宋_GB2312" w:cs="Times New Roman"/>
          <w:color w:val="000000"/>
          <w:kern w:val="2"/>
          <w:sz w:val="32"/>
          <w:szCs w:val="32"/>
          <w:highlight w:val="none"/>
          <w:shd w:val="clear" w:color="auto" w:fill="FFFFFF"/>
          <w:lang w:val="en-US" w:eastAsia="zh-CN" w:bidi="ar-SA"/>
        </w:rPr>
        <w:t>。</w:t>
      </w:r>
    </w:p>
    <w:p>
      <w:pPr>
        <w:pStyle w:val="4"/>
        <w:bidi w:val="0"/>
        <w:rPr>
          <w:rFonts w:hint="eastAsia"/>
          <w:lang w:val="en-US" w:eastAsia="zh-CN"/>
        </w:rPr>
      </w:pPr>
      <w:bookmarkStart w:id="39" w:name="_Toc18159"/>
      <w:r>
        <w:rPr>
          <w:rFonts w:hint="eastAsia"/>
          <w:lang w:val="en-US" w:eastAsia="zh-CN"/>
        </w:rPr>
        <w:t>（七）安全生产</w:t>
      </w:r>
      <w:bookmarkEnd w:id="39"/>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本项目在设计过程中采取了安全生产保护措施，以确保项目的运行安全和操作管理人员的人身安全。</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1、生产性建构筑物均应设置便于操作和行走的操作平台、走道板、安全护栏、扶手等。</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2、机械、电气设备在布置时，在满足国家相关规范要求的情况下，预留出安全操作空间及检修维护空间。</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3、电气设计中考虑了防雷及接地；结构设计中考虑了抗震，按7度设防。</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4、项目配备相应的消防设施，并设置工作人员安全设备架，出现紧急情况，可以就近找到安全设备进行自我保护。</w:t>
      </w:r>
    </w:p>
    <w:p>
      <w:pPr>
        <w:pStyle w:val="12"/>
        <w:ind w:firstLine="640" w:firstLineChars="200"/>
        <w:jc w:val="both"/>
        <w:rPr>
          <w:rFonts w:hint="eastAsia" w:ascii="仿宋" w:hAnsi="仿宋" w:eastAsia="仿宋" w:cs="仿宋"/>
          <w:bCs/>
          <w:kern w:val="0"/>
          <w:sz w:val="32"/>
          <w:szCs w:val="32"/>
        </w:rPr>
      </w:pPr>
    </w:p>
    <w:p>
      <w:pPr>
        <w:pStyle w:val="12"/>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p>
    <w:p>
      <w:pPr>
        <w:pStyle w:val="3"/>
        <w:bidi w:val="0"/>
        <w:jc w:val="both"/>
        <w:rPr>
          <w:rFonts w:hint="eastAsia" w:eastAsia="黑体"/>
          <w:color w:val="000000"/>
          <w:szCs w:val="32"/>
          <w:highlight w:val="none"/>
          <w:lang w:eastAsia="zh-CN"/>
        </w:rPr>
      </w:pPr>
      <w:bookmarkStart w:id="40" w:name="_Toc8006"/>
      <w:bookmarkStart w:id="41" w:name="_Toc6213"/>
      <w:bookmarkStart w:id="42" w:name="_Toc9029"/>
      <w:bookmarkStart w:id="43" w:name="_Toc20583"/>
      <w:bookmarkStart w:id="44" w:name="_Toc13028"/>
      <w:bookmarkStart w:id="45" w:name="_Toc20920"/>
      <w:bookmarkStart w:id="46" w:name="_Toc25461"/>
      <w:r>
        <w:rPr>
          <w:rFonts w:hint="eastAsia"/>
          <w:sz w:val="36"/>
          <w:szCs w:val="36"/>
          <w:lang w:eastAsia="zh-CN"/>
        </w:rPr>
        <w:t>四</w:t>
      </w:r>
      <w:r>
        <w:rPr>
          <w:sz w:val="36"/>
          <w:szCs w:val="36"/>
        </w:rPr>
        <w:t>、</w:t>
      </w:r>
      <w:r>
        <w:rPr>
          <w:rFonts w:hint="eastAsia"/>
          <w:sz w:val="36"/>
          <w:szCs w:val="36"/>
          <w:lang w:eastAsia="zh-CN"/>
        </w:rPr>
        <w:t>资金使用</w:t>
      </w:r>
      <w:bookmarkEnd w:id="40"/>
      <w:bookmarkEnd w:id="41"/>
      <w:bookmarkEnd w:id="42"/>
      <w:bookmarkEnd w:id="43"/>
      <w:bookmarkEnd w:id="44"/>
      <w:bookmarkEnd w:id="45"/>
      <w:bookmarkEnd w:id="46"/>
    </w:p>
    <w:p>
      <w:pPr>
        <w:pStyle w:val="4"/>
        <w:bidi w:val="0"/>
        <w:rPr>
          <w:rFonts w:hint="eastAsia"/>
          <w:lang w:val="en-US" w:eastAsia="zh-CN"/>
        </w:rPr>
      </w:pPr>
      <w:bookmarkStart w:id="47" w:name="_Toc20673"/>
      <w:r>
        <w:rPr>
          <w:rFonts w:hint="eastAsia"/>
          <w:lang w:val="en-US" w:eastAsia="zh-CN"/>
        </w:rPr>
        <w:t>（一）总投资概算与资金来源。</w:t>
      </w:r>
      <w:bookmarkEnd w:id="47"/>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该项目计划总投资211.5万元，</w:t>
      </w:r>
      <w:r>
        <w:rPr>
          <w:rFonts w:hint="default" w:ascii="仿宋_GB2312" w:hAnsi="Times New Roman" w:eastAsia="仿宋_GB2312" w:cs="Times New Roman"/>
          <w:color w:val="000000"/>
          <w:kern w:val="2"/>
          <w:sz w:val="32"/>
          <w:szCs w:val="32"/>
          <w:highlight w:val="none"/>
          <w:shd w:val="clear" w:color="auto" w:fill="FFFFFF"/>
          <w:lang w:val="en-US" w:eastAsia="zh-CN" w:bidi="ar-SA"/>
        </w:rPr>
        <w:t>河北汉邦农业开发有限公司</w:t>
      </w:r>
      <w:r>
        <w:rPr>
          <w:rFonts w:hint="eastAsia" w:ascii="仿宋_GB2312" w:hAnsi="Times New Roman" w:eastAsia="仿宋_GB2312" w:cs="Times New Roman"/>
          <w:color w:val="000000"/>
          <w:kern w:val="2"/>
          <w:sz w:val="32"/>
          <w:szCs w:val="32"/>
          <w:highlight w:val="none"/>
          <w:shd w:val="clear" w:color="auto" w:fill="FFFFFF"/>
          <w:lang w:val="en-US" w:eastAsia="zh-CN" w:bidi="ar-SA"/>
        </w:rPr>
        <w:t>自筹106.5万元，财政资金金额为105万元，财政资金全部用于申请采购安装太阳能+空气源热泵系统等相关设施设备。</w:t>
      </w:r>
    </w:p>
    <w:p>
      <w:pPr>
        <w:pStyle w:val="4"/>
        <w:bidi w:val="0"/>
        <w:rPr>
          <w:rFonts w:hint="eastAsia" w:ascii="Arial" w:hAnsi="Arial" w:eastAsia="黑体" w:cs="Times New Roman"/>
          <w:b/>
          <w:kern w:val="2"/>
          <w:sz w:val="32"/>
          <w:szCs w:val="22"/>
          <w:lang w:val="en-US" w:eastAsia="zh-CN" w:bidi="ar-SA"/>
        </w:rPr>
      </w:pPr>
      <w:bookmarkStart w:id="48" w:name="_Toc23557"/>
      <w:r>
        <w:rPr>
          <w:rFonts w:hint="eastAsia"/>
          <w:lang w:val="en-US" w:eastAsia="zh-CN"/>
        </w:rPr>
        <w:t>（二）投资估算依据</w:t>
      </w:r>
      <w:bookmarkEnd w:id="48"/>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1.《建设项目经济评价方法与参数》</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2.《投资项目可行性评价指南》</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3.《省建筑工程综合定额》</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4.《省建筑工程费用定额》</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5.类似工程的建设投资指标</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6.设备厂家2026年2月报价</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7.当地材料费、人工费资料及当地类似工程造价</w:t>
      </w:r>
    </w:p>
    <w:p>
      <w:pPr>
        <w:pStyle w:val="12"/>
        <w:ind w:firstLine="640" w:firstLineChars="200"/>
        <w:jc w:val="both"/>
        <w:rPr>
          <w:rFonts w:hint="eastAsia" w:ascii="仿宋_GB2312" w:hAnsi="Times New Roman" w:eastAsia="仿宋_GB2312" w:cs="Times New Roman"/>
          <w:color w:val="000000"/>
          <w:kern w:val="2"/>
          <w:sz w:val="32"/>
          <w:szCs w:val="32"/>
          <w:highlight w:val="none"/>
          <w:shd w:val="clear" w:color="auto" w:fill="FFFFFF"/>
          <w:lang w:val="en-US" w:eastAsia="zh-CN" w:bidi="ar-SA"/>
        </w:rPr>
      </w:pPr>
      <w:r>
        <w:rPr>
          <w:rFonts w:hint="eastAsia" w:ascii="仿宋_GB2312" w:hAnsi="Times New Roman" w:eastAsia="仿宋_GB2312" w:cs="Times New Roman"/>
          <w:color w:val="000000"/>
          <w:kern w:val="2"/>
          <w:sz w:val="32"/>
          <w:szCs w:val="32"/>
          <w:highlight w:val="none"/>
          <w:shd w:val="clear" w:color="auto" w:fill="FFFFFF"/>
          <w:lang w:val="en-US" w:eastAsia="zh-CN" w:bidi="ar-SA"/>
        </w:rPr>
        <w:t>8.建设单位提供的相关材料</w:t>
      </w:r>
    </w:p>
    <w:p>
      <w:pPr>
        <w:pStyle w:val="4"/>
        <w:bidi w:val="0"/>
        <w:rPr>
          <w:rFonts w:hint="eastAsia"/>
          <w:lang w:val="en-US" w:eastAsia="zh-CN"/>
        </w:rPr>
      </w:pPr>
      <w:bookmarkStart w:id="49" w:name="_Toc5102"/>
      <w:r>
        <w:rPr>
          <w:rFonts w:hint="eastAsia"/>
          <w:lang w:val="en-US" w:eastAsia="zh-CN"/>
        </w:rPr>
        <w:t>（三）财政资金投入使用方式</w:t>
      </w:r>
      <w:bookmarkEnd w:id="49"/>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hAnsi="Times New Roman" w:eastAsia="仿宋_GB2312" w:cs="Times New Roman"/>
          <w:color w:val="000000"/>
          <w:sz w:val="32"/>
          <w:szCs w:val="32"/>
          <w:highlight w:val="none"/>
          <w:shd w:val="clear" w:color="auto" w:fill="FFFFFF"/>
          <w:lang w:eastAsia="zh-CN"/>
        </w:rPr>
      </w:pPr>
      <w:r>
        <w:rPr>
          <w:rFonts w:hint="eastAsia" w:ascii="仿宋_GB2312" w:hAnsi="Times New Roman" w:eastAsia="仿宋_GB2312" w:cs="Times New Roman"/>
          <w:color w:val="000000"/>
          <w:sz w:val="32"/>
          <w:szCs w:val="32"/>
          <w:highlight w:val="none"/>
          <w:shd w:val="clear" w:color="auto" w:fill="FFFFFF"/>
          <w:lang w:eastAsia="zh-CN"/>
        </w:rPr>
        <w:t>财政资金支出计划：财政补助资金严格按照规定使用，项目由建设单位以公开招标方式进行设备采购，项目建设单位与中标单位及施工单位签订规范的供货与服务合同。完成招标及合同签订后，提出资金拨付申请，县农业农村局拨付补助资金50%。设备进场并经验收后，拨付补助资金的30%，县农业农村局进行初验通过后，支付补助资金20%。202</w:t>
      </w:r>
      <w:r>
        <w:rPr>
          <w:rFonts w:hint="eastAsia" w:ascii="仿宋_GB2312" w:eastAsia="仿宋_GB2312" w:cs="Times New Roman"/>
          <w:color w:val="000000"/>
          <w:sz w:val="32"/>
          <w:szCs w:val="32"/>
          <w:highlight w:val="none"/>
          <w:shd w:val="clear" w:color="auto" w:fill="FFFFFF"/>
          <w:lang w:val="en-US" w:eastAsia="zh-CN"/>
        </w:rPr>
        <w:t>6</w:t>
      </w:r>
      <w:r>
        <w:rPr>
          <w:rFonts w:hint="eastAsia" w:ascii="仿宋_GB2312" w:hAnsi="Times New Roman" w:eastAsia="仿宋_GB2312" w:cs="Times New Roman"/>
          <w:color w:val="000000"/>
          <w:sz w:val="32"/>
          <w:szCs w:val="32"/>
          <w:highlight w:val="none"/>
          <w:shd w:val="clear" w:color="auto" w:fill="FFFFFF"/>
          <w:lang w:eastAsia="zh-CN"/>
        </w:rPr>
        <w:t>年6月底前完成财政资金50%支付进度。项目资金若有结余资金，用于购买本项目设备易损零件的支出；若资金不足以完成项目实施内容，所需资金自筹</w:t>
      </w:r>
      <w:r>
        <w:rPr>
          <w:rFonts w:hint="eastAsia" w:ascii="仿宋_GB2312" w:eastAsia="仿宋_GB2312" w:cs="Times New Roman"/>
          <w:color w:val="000000"/>
          <w:sz w:val="32"/>
          <w:szCs w:val="32"/>
          <w:highlight w:val="none"/>
          <w:shd w:val="clear" w:color="auto" w:fill="FFFFFF"/>
          <w:lang w:val="en-US" w:eastAsia="zh-CN"/>
        </w:rPr>
        <w:t>。</w:t>
      </w:r>
    </w:p>
    <w:p>
      <w:pPr>
        <w:pStyle w:val="3"/>
        <w:bidi w:val="0"/>
        <w:jc w:val="both"/>
        <w:rPr>
          <w:rFonts w:hint="eastAsia"/>
          <w:sz w:val="36"/>
          <w:szCs w:val="36"/>
          <w:lang w:eastAsia="zh-CN"/>
        </w:rPr>
      </w:pPr>
      <w:bookmarkStart w:id="50" w:name="_Toc29226"/>
      <w:bookmarkStart w:id="51" w:name="_Toc28202"/>
      <w:bookmarkStart w:id="52" w:name="_Toc30162"/>
      <w:bookmarkStart w:id="53" w:name="_Toc29173"/>
      <w:bookmarkStart w:id="54" w:name="_Toc18865"/>
      <w:bookmarkStart w:id="55" w:name="_Toc10703"/>
      <w:bookmarkStart w:id="56" w:name="_Toc12463"/>
      <w:r>
        <w:rPr>
          <w:rFonts w:hint="eastAsia"/>
          <w:sz w:val="36"/>
          <w:szCs w:val="36"/>
          <w:lang w:eastAsia="zh-CN"/>
        </w:rPr>
        <w:t>五、保障措施</w:t>
      </w:r>
      <w:bookmarkEnd w:id="50"/>
      <w:bookmarkEnd w:id="51"/>
      <w:bookmarkEnd w:id="52"/>
      <w:bookmarkEnd w:id="53"/>
      <w:bookmarkEnd w:id="54"/>
      <w:bookmarkEnd w:id="55"/>
      <w:bookmarkEnd w:id="56"/>
    </w:p>
    <w:p>
      <w:pPr>
        <w:pStyle w:val="4"/>
        <w:bidi w:val="0"/>
        <w:rPr>
          <w:rFonts w:hint="eastAsia" w:ascii="仿宋_GB2312" w:eastAsia="仿宋_GB2312" w:cs="Times New Roman"/>
          <w:color w:val="000000"/>
          <w:sz w:val="32"/>
          <w:szCs w:val="32"/>
          <w:highlight w:val="none"/>
          <w:shd w:val="clear" w:color="auto" w:fill="FFFFFF"/>
          <w:lang w:eastAsia="zh-CN"/>
        </w:rPr>
      </w:pPr>
      <w:bookmarkStart w:id="57" w:name="_Toc32284"/>
      <w:r>
        <w:rPr>
          <w:rFonts w:hint="eastAsia"/>
          <w:lang w:val="en-US" w:eastAsia="zh-CN"/>
        </w:rPr>
        <w:t>（一）组织管理</w:t>
      </w:r>
      <w:bookmarkEnd w:id="57"/>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eastAsia="仿宋_GB2312" w:cs="Times New Roman"/>
          <w:color w:val="000000"/>
          <w:sz w:val="32"/>
          <w:szCs w:val="32"/>
          <w:highlight w:val="none"/>
          <w:shd w:val="clear" w:color="auto" w:fill="FFFFFF"/>
          <w:lang w:eastAsia="zh-CN"/>
        </w:rPr>
      </w:pPr>
      <w:r>
        <w:rPr>
          <w:rFonts w:hint="eastAsia" w:ascii="仿宋_GB2312" w:eastAsia="仿宋_GB2312" w:cs="Times New Roman"/>
          <w:color w:val="000000"/>
          <w:sz w:val="32"/>
          <w:szCs w:val="32"/>
          <w:highlight w:val="none"/>
          <w:shd w:val="clear" w:color="auto" w:fill="FFFFFF"/>
          <w:lang w:eastAsia="zh-CN"/>
        </w:rPr>
        <w:t>为确保项目建设顺利进行，项目实施阶段，成立平山县新能源开发利用项目工作领导小组，由平山县新能源服务中心主任任组长，平山县新能源服务中心副主任任副组长，其余人员为成员。领导小组为推进项目实施提供组织保障。</w:t>
      </w:r>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eastAsia="仿宋_GB2312" w:cs="Times New Roman"/>
          <w:color w:val="000000"/>
          <w:sz w:val="32"/>
          <w:szCs w:val="32"/>
          <w:highlight w:val="none"/>
          <w:shd w:val="clear" w:color="auto" w:fill="FFFFFF"/>
          <w:lang w:eastAsia="zh-CN"/>
        </w:rPr>
      </w:pPr>
      <w:r>
        <w:rPr>
          <w:rFonts w:hint="eastAsia" w:ascii="仿宋_GB2312" w:eastAsia="仿宋_GB2312" w:cs="Times New Roman"/>
          <w:color w:val="000000"/>
          <w:sz w:val="32"/>
          <w:szCs w:val="32"/>
          <w:highlight w:val="none"/>
          <w:shd w:val="clear" w:color="auto" w:fill="FFFFFF"/>
          <w:lang w:eastAsia="zh-CN"/>
        </w:rPr>
        <w:t>农业部门负责方案的审核、组织实施、督导及验收；</w:t>
      </w:r>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eastAsia="仿宋_GB2312" w:cs="Times New Roman"/>
          <w:color w:val="000000"/>
          <w:sz w:val="32"/>
          <w:szCs w:val="32"/>
          <w:highlight w:val="none"/>
          <w:shd w:val="clear" w:color="auto" w:fill="FFFFFF"/>
          <w:lang w:eastAsia="zh-CN"/>
        </w:rPr>
      </w:pPr>
      <w:r>
        <w:rPr>
          <w:rFonts w:hint="eastAsia" w:ascii="仿宋_GB2312" w:eastAsia="仿宋_GB2312" w:cs="Times New Roman"/>
          <w:color w:val="000000"/>
          <w:sz w:val="32"/>
          <w:szCs w:val="32"/>
          <w:highlight w:val="none"/>
          <w:shd w:val="clear" w:color="auto" w:fill="FFFFFF"/>
          <w:lang w:eastAsia="zh-CN"/>
        </w:rPr>
        <w:t>财政部门负责及时审核拨付补助资金；</w:t>
      </w:r>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eastAsia="仿宋_GB2312" w:cs="Times New Roman"/>
          <w:color w:val="000000"/>
          <w:sz w:val="32"/>
          <w:szCs w:val="32"/>
          <w:highlight w:val="none"/>
          <w:shd w:val="clear" w:color="auto" w:fill="FFFFFF"/>
          <w:lang w:eastAsia="zh-CN"/>
        </w:rPr>
      </w:pPr>
      <w:r>
        <w:rPr>
          <w:rFonts w:hint="eastAsia" w:ascii="仿宋_GB2312" w:eastAsia="仿宋_GB2312" w:cs="Times New Roman"/>
          <w:color w:val="000000"/>
          <w:sz w:val="32"/>
          <w:szCs w:val="32"/>
          <w:highlight w:val="none"/>
          <w:shd w:val="clear" w:color="auto" w:fill="FFFFFF"/>
          <w:lang w:eastAsia="zh-CN"/>
        </w:rPr>
        <w:t>项目完成后由领导小组组成验收组对项目进行验收。</w:t>
      </w:r>
    </w:p>
    <w:p>
      <w:pPr>
        <w:pStyle w:val="4"/>
        <w:bidi w:val="0"/>
        <w:rPr>
          <w:rFonts w:hint="eastAsia" w:ascii="仿宋_GB2312" w:eastAsia="仿宋_GB2312" w:cs="Times New Roman"/>
          <w:color w:val="000000"/>
          <w:sz w:val="32"/>
          <w:szCs w:val="32"/>
          <w:highlight w:val="none"/>
          <w:shd w:val="clear" w:color="auto" w:fill="FFFFFF"/>
          <w:lang w:eastAsia="zh-CN"/>
        </w:rPr>
      </w:pPr>
      <w:bookmarkStart w:id="58" w:name="_Toc6241"/>
      <w:r>
        <w:rPr>
          <w:rFonts w:hint="eastAsia"/>
          <w:lang w:val="en-US" w:eastAsia="zh-CN"/>
        </w:rPr>
        <w:t>（二）方案制定审批</w:t>
      </w:r>
      <w:bookmarkEnd w:id="58"/>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eastAsia="仿宋_GB2312" w:cs="Times New Roman"/>
          <w:color w:val="000000"/>
          <w:sz w:val="32"/>
          <w:szCs w:val="32"/>
          <w:highlight w:val="none"/>
          <w:shd w:val="clear" w:color="auto" w:fill="FFFFFF"/>
          <w:lang w:eastAsia="zh-CN"/>
        </w:rPr>
      </w:pPr>
      <w:r>
        <w:rPr>
          <w:rFonts w:hint="eastAsia" w:ascii="仿宋_GB2312" w:eastAsia="仿宋_GB2312" w:cs="Times New Roman"/>
          <w:color w:val="000000"/>
          <w:sz w:val="32"/>
          <w:szCs w:val="32"/>
          <w:highlight w:val="none"/>
          <w:shd w:val="clear" w:color="auto" w:fill="FFFFFF"/>
          <w:lang w:eastAsia="zh-CN"/>
        </w:rPr>
        <w:t>根据项目实际情况，由河北省平山县新能源服务中心联合项目实施企业负责制定实施方案，经专家评审后报石家庄市农业农村局审批，并报省农业厅主管部门备案。</w:t>
      </w:r>
    </w:p>
    <w:p>
      <w:pPr>
        <w:pStyle w:val="4"/>
        <w:bidi w:val="0"/>
        <w:rPr>
          <w:rFonts w:hint="eastAsia"/>
          <w:lang w:val="en-US" w:eastAsia="zh-CN"/>
        </w:rPr>
      </w:pPr>
      <w:bookmarkStart w:id="59" w:name="_Toc14620"/>
      <w:r>
        <w:rPr>
          <w:rFonts w:hint="eastAsia"/>
          <w:lang w:val="en-US" w:eastAsia="zh-CN"/>
        </w:rPr>
        <w:t>（三）招标采购</w:t>
      </w:r>
      <w:bookmarkEnd w:id="59"/>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default"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项目实施单位严格按照招标采购程序进行招标采购。对本项目设备、土建整体实行公开招标，确定中标企业，以中标价格为最终采购价格。省级补助资金专账管理，独立核算，专款专用，由平山县新能源服务中心根据项目实施进度，向财政部门提出资金拨付审核申请财政部门按照有关规定及时将补助资金拨付给中标企业</w:t>
      </w:r>
      <w:r>
        <w:rPr>
          <w:rFonts w:hint="default" w:ascii="仿宋_GB2312" w:eastAsia="仿宋_GB2312" w:cs="Times New Roman"/>
          <w:color w:val="000000"/>
          <w:sz w:val="32"/>
          <w:szCs w:val="32"/>
          <w:highlight w:val="none"/>
          <w:shd w:val="clear" w:color="auto" w:fill="FFFFFF"/>
          <w:lang w:val="en-US" w:eastAsia="zh-CN"/>
        </w:rPr>
        <w:t>。</w:t>
      </w:r>
    </w:p>
    <w:p>
      <w:pPr>
        <w:pStyle w:val="4"/>
        <w:bidi w:val="0"/>
        <w:rPr>
          <w:rFonts w:hint="default"/>
          <w:lang w:val="en-US" w:eastAsia="zh-CN"/>
        </w:rPr>
      </w:pPr>
      <w:bookmarkStart w:id="60" w:name="_Toc17722"/>
      <w:r>
        <w:rPr>
          <w:rFonts w:hint="eastAsia"/>
          <w:lang w:val="en-US" w:eastAsia="zh-CN"/>
        </w:rPr>
        <w:t>（四）工程管理措施</w:t>
      </w:r>
      <w:bookmarkEnd w:id="60"/>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default" w:ascii="仿宋_GB2312" w:eastAsia="仿宋_GB2312" w:cs="Times New Roman"/>
          <w:color w:val="000000"/>
          <w:sz w:val="32"/>
          <w:szCs w:val="32"/>
          <w:highlight w:val="none"/>
          <w:shd w:val="clear" w:color="auto" w:fill="FFFFFF"/>
          <w:lang w:val="en-US" w:eastAsia="zh-CN"/>
        </w:rPr>
      </w:pPr>
      <w:r>
        <w:rPr>
          <w:rFonts w:hint="default" w:ascii="仿宋_GB2312" w:eastAsia="仿宋_GB2312" w:cs="Times New Roman"/>
          <w:color w:val="000000"/>
          <w:sz w:val="32"/>
          <w:szCs w:val="32"/>
          <w:highlight w:val="none"/>
          <w:shd w:val="clear" w:color="auto" w:fill="FFFFFF"/>
          <w:lang w:val="en-US" w:eastAsia="zh-CN"/>
        </w:rPr>
        <w:t xml:space="preserve">本工程施工具备系统复杂、涉及的专业领域多、交叉作业多等特点。在建设期间成立质量检验小组。采用先进的科学管理方法，建立工程质量保证体系。从各方面对工程的每一步都给予了明确的规定，在此项工程施工中将完全规定的要求运行，以利于工程质量的保证。      </w:t>
      </w:r>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default" w:ascii="仿宋_GB2312" w:eastAsia="仿宋_GB2312" w:cs="Times New Roman"/>
          <w:color w:val="000000"/>
          <w:sz w:val="32"/>
          <w:szCs w:val="32"/>
          <w:highlight w:val="none"/>
          <w:shd w:val="clear" w:color="auto" w:fill="FFFFFF"/>
          <w:lang w:val="en-US" w:eastAsia="zh-CN"/>
        </w:rPr>
      </w:pPr>
      <w:r>
        <w:rPr>
          <w:rFonts w:hint="default" w:ascii="仿宋_GB2312" w:eastAsia="仿宋_GB2312" w:cs="Times New Roman"/>
          <w:color w:val="000000"/>
          <w:sz w:val="32"/>
          <w:szCs w:val="32"/>
          <w:highlight w:val="none"/>
          <w:shd w:val="clear" w:color="auto" w:fill="FFFFFF"/>
          <w:lang w:val="en-US" w:eastAsia="zh-CN"/>
        </w:rPr>
        <w:t>项目管理机构配备人员落实责任执行制度，监督、协调工程施工进度情况。工程质量要从如下几方面加强管理：质量管理机构、文件资料控制、材料控制、施工过程控制、质量检验、成品保护、不合格品的控制、质量改进、督查与验收。</w:t>
      </w:r>
    </w:p>
    <w:p>
      <w:pPr>
        <w:pStyle w:val="4"/>
        <w:bidi w:val="0"/>
        <w:rPr>
          <w:rFonts w:hint="default" w:ascii="仿宋_GB2312" w:eastAsia="仿宋_GB2312" w:cs="Times New Roman"/>
          <w:color w:val="000000"/>
          <w:sz w:val="32"/>
          <w:szCs w:val="32"/>
          <w:highlight w:val="none"/>
          <w:shd w:val="clear" w:color="auto" w:fill="FFFFFF"/>
          <w:lang w:val="en-US" w:eastAsia="zh-CN"/>
        </w:rPr>
      </w:pPr>
      <w:bookmarkStart w:id="61" w:name="_Toc24350"/>
      <w:r>
        <w:rPr>
          <w:rFonts w:hint="eastAsia"/>
          <w:lang w:val="en-US" w:eastAsia="zh-CN"/>
        </w:rPr>
        <w:t>（五）资金管理措施</w:t>
      </w:r>
      <w:bookmarkEnd w:id="61"/>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严格资金管理，项目资金实行专帐管理，独立核算，专款专用，严格按照项目规定用途使用省级补贴资金，坚决杜绝侵占、挪用、截留等项目资金和重复享受财政补贴问题，项目建设单位要根据工程进度，保证自筹资金足额及时到位，杜绝因自筹资金不到位而影响工程进度。项目管理人员负责在合同规定时间内完成对施工单位报量及工程进度款的申报。在抓计划的基础上做好调度工作，决不因计划不周导致物资积压，使资金无法发挥效益。抓好材料费用的控制使用是做好财力使用的基础。</w:t>
      </w:r>
    </w:p>
    <w:p>
      <w:pPr>
        <w:pStyle w:val="4"/>
        <w:bidi w:val="0"/>
        <w:rPr>
          <w:rFonts w:hint="default" w:ascii="仿宋_GB2312" w:eastAsia="仿宋_GB2312" w:cs="Times New Roman"/>
          <w:color w:val="000000"/>
          <w:sz w:val="32"/>
          <w:szCs w:val="32"/>
          <w:highlight w:val="none"/>
          <w:shd w:val="clear" w:color="auto" w:fill="FFFFFF"/>
          <w:lang w:val="en-US" w:eastAsia="zh-CN"/>
        </w:rPr>
      </w:pPr>
      <w:bookmarkStart w:id="62" w:name="_Toc31529"/>
      <w:r>
        <w:rPr>
          <w:rFonts w:hint="eastAsia"/>
          <w:lang w:val="en-US" w:eastAsia="zh-CN"/>
        </w:rPr>
        <w:t>（六）强化督促指导</w:t>
      </w:r>
      <w:bookmarkEnd w:id="62"/>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按照“市验收、省核查”的方式开展试点项目年度考核，建立考核激励机制，不定期组织开展工作督导和检查，进行阶段性考核评估。建立项目建设进度台账，加大督导检查力度，通过多种方式调度项目进展，督促建设主体按时完成项目建设。</w:t>
      </w:r>
    </w:p>
    <w:p>
      <w:pPr>
        <w:pStyle w:val="4"/>
        <w:bidi w:val="0"/>
        <w:rPr>
          <w:rFonts w:hint="default" w:ascii="仿宋_GB2312" w:eastAsia="仿宋_GB2312" w:cs="Times New Roman"/>
          <w:color w:val="000000"/>
          <w:sz w:val="32"/>
          <w:szCs w:val="32"/>
          <w:highlight w:val="none"/>
          <w:shd w:val="clear" w:color="auto" w:fill="FFFFFF"/>
          <w:lang w:val="en-US" w:eastAsia="zh-CN"/>
        </w:rPr>
      </w:pPr>
      <w:bookmarkStart w:id="63" w:name="_Toc15512"/>
      <w:r>
        <w:rPr>
          <w:rFonts w:hint="eastAsia"/>
          <w:lang w:val="en-US" w:eastAsia="zh-CN"/>
        </w:rPr>
        <w:t>（七）项目验收</w:t>
      </w:r>
      <w:bookmarkEnd w:id="63"/>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项目竣工后，建设单位向平山县新能源服务中心申请县级验收。</w:t>
      </w:r>
      <w:r>
        <w:rPr>
          <w:rFonts w:hint="default" w:ascii="仿宋_GB2312" w:eastAsia="仿宋_GB2312" w:cs="Times New Roman"/>
          <w:color w:val="000000"/>
          <w:sz w:val="32"/>
          <w:szCs w:val="32"/>
          <w:highlight w:val="none"/>
          <w:shd w:val="clear" w:color="auto" w:fill="FFFFFF"/>
          <w:lang w:val="en-US" w:eastAsia="zh-CN"/>
        </w:rPr>
        <w:t>由平山县新能源服务中心组织人员对项目进行初验，</w:t>
      </w:r>
      <w:r>
        <w:rPr>
          <w:rFonts w:hint="eastAsia" w:ascii="仿宋_GB2312" w:eastAsia="仿宋_GB2312" w:cs="Times New Roman"/>
          <w:color w:val="000000"/>
          <w:sz w:val="32"/>
          <w:szCs w:val="32"/>
          <w:highlight w:val="none"/>
          <w:shd w:val="clear" w:color="auto" w:fill="FFFFFF"/>
          <w:lang w:val="en-US" w:eastAsia="zh-CN"/>
        </w:rPr>
        <w:t>县级初验通过后。12月底前向市农业农村局申请市级验收。</w:t>
      </w:r>
    </w:p>
    <w:p>
      <w:pPr>
        <w:pStyle w:val="3"/>
        <w:bidi w:val="0"/>
        <w:jc w:val="both"/>
        <w:rPr>
          <w:rFonts w:hint="default"/>
          <w:sz w:val="36"/>
          <w:szCs w:val="36"/>
          <w:lang w:val="en-US" w:eastAsia="zh-CN"/>
        </w:rPr>
      </w:pPr>
      <w:bookmarkStart w:id="64" w:name="_Toc32647"/>
      <w:r>
        <w:rPr>
          <w:rFonts w:hint="eastAsia"/>
          <w:sz w:val="36"/>
          <w:szCs w:val="36"/>
          <w:lang w:eastAsia="zh-CN"/>
        </w:rPr>
        <w:t>六、经济、生态、社会效益分析评价</w:t>
      </w:r>
      <w:bookmarkEnd w:id="64"/>
    </w:p>
    <w:p>
      <w:pPr>
        <w:pStyle w:val="4"/>
        <w:bidi w:val="0"/>
        <w:rPr>
          <w:rFonts w:hint="default"/>
          <w:lang w:val="en-US" w:eastAsia="zh-CN"/>
        </w:rPr>
      </w:pPr>
      <w:bookmarkStart w:id="65" w:name="_Toc2358"/>
      <w:r>
        <w:rPr>
          <w:rFonts w:hint="eastAsia"/>
          <w:lang w:val="en-US" w:eastAsia="zh-CN"/>
        </w:rPr>
        <w:t>（一）经济效益</w:t>
      </w:r>
      <w:bookmarkEnd w:id="65"/>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太阳能和空气能采暖技术具有高效节能、环保等优点，可以实现集中供热，最大的限度地利用了现有资源，两者结合最大限度做到了环保、节能、经济的供暖模式。</w:t>
      </w:r>
    </w:p>
    <w:p>
      <w:pPr>
        <w:pStyle w:val="4"/>
        <w:bidi w:val="0"/>
        <w:rPr>
          <w:rFonts w:hint="default"/>
          <w:lang w:val="en-US" w:eastAsia="zh-CN"/>
        </w:rPr>
      </w:pPr>
      <w:bookmarkStart w:id="66" w:name="_Toc31784"/>
      <w:r>
        <w:rPr>
          <w:rFonts w:hint="eastAsia"/>
          <w:lang w:val="en-US" w:eastAsia="zh-CN"/>
        </w:rPr>
        <w:t>（二）环境效益</w:t>
      </w:r>
      <w:bookmarkEnd w:id="66"/>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本项目以绿色发展理念为引领，以减量化、再利用、资源化为途径，通过开发新的能源模式，变废为宝，既降低了散煤污染，又有利于改善农村面貌。项目的实施减少了燃烧散煤所造成的大气环境污染，改善入冬以后的雾霾天气。</w:t>
      </w:r>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据估算此系统可替代和减少燃煤用量约700吨，项目的实施减少了焚烧秸秆和燃烧散煤所造成的环境污染，改善入冬以后的雾霾天气。每年可减少CO2排放1820吨，减少SO2排放5.18吨，减少NOx排放1.12吨。具有十分良好的节能减排效果。。</w:t>
      </w:r>
    </w:p>
    <w:p>
      <w:pPr>
        <w:pStyle w:val="4"/>
        <w:bidi w:val="0"/>
        <w:rPr>
          <w:rFonts w:hint="default"/>
          <w:lang w:val="en-US" w:eastAsia="zh-CN"/>
        </w:rPr>
      </w:pPr>
      <w:bookmarkStart w:id="67" w:name="_Toc7429"/>
      <w:r>
        <w:rPr>
          <w:rFonts w:hint="eastAsia"/>
          <w:lang w:val="en-US" w:eastAsia="zh-CN"/>
        </w:rPr>
        <w:t>（三）社会效益</w:t>
      </w:r>
      <w:bookmarkEnd w:id="67"/>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ascii="仿宋_GB2312" w:eastAsia="仿宋_GB2312" w:cs="Times New Roman"/>
          <w:color w:val="000000"/>
          <w:sz w:val="32"/>
          <w:szCs w:val="32"/>
          <w:highlight w:val="none"/>
          <w:shd w:val="clear" w:color="auto" w:fill="FFFFFF"/>
          <w:lang w:val="en-US" w:eastAsia="zh-CN"/>
        </w:rPr>
      </w:pPr>
      <w:r>
        <w:rPr>
          <w:rFonts w:hint="eastAsia" w:ascii="仿宋_GB2312" w:eastAsia="仿宋_GB2312" w:cs="Times New Roman"/>
          <w:color w:val="000000"/>
          <w:sz w:val="32"/>
          <w:szCs w:val="32"/>
          <w:highlight w:val="none"/>
          <w:shd w:val="clear" w:color="auto" w:fill="FFFFFF"/>
          <w:lang w:val="en-US" w:eastAsia="zh-CN"/>
        </w:rPr>
        <w:t>清洁能源工程建设，是开发能源、节约能源、改善农村卫生环境、改善大气环境、改善生活质量、促进农业经济可持续发展的有效途径，是全面建设小康社会，推进新农村建设的重要措施。</w:t>
      </w:r>
    </w:p>
    <w:p>
      <w:pPr>
        <w:pStyle w:val="13"/>
        <w:keepNext w:val="0"/>
        <w:keepLines w:val="0"/>
        <w:pageBreakBefore w:val="0"/>
        <w:widowControl w:val="0"/>
        <w:kinsoku/>
        <w:wordWrap/>
        <w:overflowPunct/>
        <w:topLinePunct w:val="0"/>
        <w:autoSpaceDE/>
        <w:autoSpaceDN/>
        <w:bidi w:val="0"/>
        <w:snapToGrid w:val="0"/>
        <w:spacing w:line="360" w:lineRule="auto"/>
        <w:ind w:firstLine="640" w:firstLineChars="200"/>
        <w:jc w:val="both"/>
        <w:textAlignment w:val="auto"/>
        <w:rPr>
          <w:rFonts w:hint="eastAsia"/>
          <w:sz w:val="36"/>
          <w:szCs w:val="36"/>
          <w:lang w:eastAsia="zh-CN"/>
        </w:rPr>
      </w:pPr>
      <w:r>
        <w:rPr>
          <w:rFonts w:hint="eastAsia" w:ascii="仿宋_GB2312" w:eastAsia="仿宋_GB2312" w:cs="Times New Roman"/>
          <w:color w:val="000000"/>
          <w:sz w:val="32"/>
          <w:szCs w:val="32"/>
          <w:highlight w:val="none"/>
          <w:shd w:val="clear" w:color="auto" w:fill="FFFFFF"/>
          <w:lang w:val="en-US" w:eastAsia="zh-CN"/>
        </w:rPr>
        <w:t>该项目的实施有利于农村清洁能源建设由小范围的试点示范发展到大规模的工业生产经营，并从过去的单一生活领域扩展到生产、生态和环境卫生等众多领域。该项目已经成为一项改善农村生产生活条件的能源清洁工程，一项节约资源、环境友好型社会的能源生态工程，一项让广大农民真正得益的惠民爱民工程</w:t>
      </w:r>
      <w:r>
        <w:rPr>
          <w:rFonts w:hint="default" w:ascii="仿宋_GB2312" w:eastAsia="仿宋_GB2312" w:cs="Times New Roman"/>
          <w:color w:val="000000"/>
          <w:sz w:val="32"/>
          <w:szCs w:val="32"/>
          <w:highlight w:val="none"/>
          <w:shd w:val="clear" w:color="auto" w:fill="FFFFFF"/>
          <w:lang w:val="en-US" w:eastAsia="zh-CN"/>
        </w:rPr>
        <w:t>。</w:t>
      </w:r>
      <w:bookmarkStart w:id="68" w:name="_Toc31969"/>
      <w:bookmarkStart w:id="69" w:name="_Toc25033"/>
      <w:bookmarkStart w:id="70" w:name="_Toc20299"/>
      <w:bookmarkStart w:id="71" w:name="_Toc25091"/>
      <w:bookmarkStart w:id="72" w:name="_Toc19300"/>
      <w:bookmarkStart w:id="73" w:name="_Toc15690"/>
    </w:p>
    <w:p>
      <w:pPr>
        <w:pStyle w:val="6"/>
        <w:rPr>
          <w:rFonts w:hint="eastAsia"/>
          <w:lang w:eastAsia="zh-CN"/>
        </w:rPr>
      </w:pPr>
    </w:p>
    <w:bookmarkEnd w:id="68"/>
    <w:bookmarkEnd w:id="69"/>
    <w:bookmarkEnd w:id="70"/>
    <w:bookmarkEnd w:id="71"/>
    <w:bookmarkEnd w:id="72"/>
    <w:bookmarkEnd w:id="73"/>
    <w:p>
      <w:pPr>
        <w:pStyle w:val="6"/>
        <w:numPr>
          <w:ilvl w:val="0"/>
          <w:numId w:val="0"/>
        </w:numPr>
        <w:ind w:leftChars="200"/>
      </w:pPr>
    </w:p>
    <w:p>
      <w:pPr>
        <w:pStyle w:val="6"/>
        <w:numPr>
          <w:ilvl w:val="0"/>
          <w:numId w:val="0"/>
        </w:numPr>
        <w:ind w:leftChars="200"/>
      </w:pPr>
    </w:p>
    <w:p>
      <w:pPr>
        <w:pStyle w:val="6"/>
        <w:numPr>
          <w:ilvl w:val="0"/>
          <w:numId w:val="0"/>
        </w:numPr>
        <w:ind w:leftChars="200"/>
      </w:pPr>
    </w:p>
    <w:p>
      <w:pPr>
        <w:pStyle w:val="6"/>
        <w:numPr>
          <w:ilvl w:val="0"/>
          <w:numId w:val="0"/>
        </w:numPr>
        <w:ind w:leftChars="200"/>
      </w:pPr>
    </w:p>
    <w:p>
      <w:pPr>
        <w:pStyle w:val="6"/>
        <w:numPr>
          <w:ilvl w:val="0"/>
          <w:numId w:val="0"/>
        </w:numPr>
        <w:ind w:leftChars="200"/>
      </w:pPr>
    </w:p>
    <w:p>
      <w:pPr>
        <w:jc w:val="center"/>
        <w:rPr>
          <w:rFonts w:hint="eastAsia"/>
          <w:b/>
          <w:bCs/>
          <w:sz w:val="44"/>
          <w:szCs w:val="44"/>
          <w:lang w:val="en-US" w:eastAsia="zh-CN"/>
        </w:rPr>
      </w:pPr>
    </w:p>
    <w:p>
      <w:pPr>
        <w:pStyle w:val="6"/>
        <w:numPr>
          <w:ilvl w:val="0"/>
          <w:numId w:val="0"/>
        </w:numPr>
        <w:rPr>
          <w:rFonts w:hint="eastAsia"/>
        </w:rPr>
      </w:pPr>
    </w:p>
    <w:p>
      <w:pPr>
        <w:pStyle w:val="13"/>
        <w:snapToGrid w:val="0"/>
        <w:spacing w:line="560" w:lineRule="exact"/>
        <w:ind w:firstLine="640" w:firstLineChars="200"/>
        <w:jc w:val="both"/>
        <w:rPr>
          <w:rFonts w:hint="eastAsia" w:ascii="仿宋_GB2312" w:hAnsi="仿宋_GB2312" w:eastAsia="仿宋_GB2312" w:cs="仿宋_GB2312"/>
          <w:color w:val="auto"/>
          <w:sz w:val="32"/>
          <w:szCs w:val="32"/>
          <w:highlight w:val="none"/>
          <w:lang w:val="en-US" w:eastAsia="zh-CN"/>
        </w:rPr>
      </w:pPr>
    </w:p>
    <w:p/>
    <w:sectPr>
      <w:footerReference r:id="rId3" w:type="default"/>
      <w:pgSz w:w="11906" w:h="16838"/>
      <w:pgMar w:top="2098" w:right="1474" w:bottom="1984" w:left="1587" w:header="851" w:footer="992" w:gutter="0"/>
      <w:pgNumType w:fmt="decimal"/>
      <w:cols w:space="72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2593458-1DCC-43C1-9F24-9D560A1EDADB}"/>
  </w:font>
  <w:font w:name="黑体">
    <w:panose1 w:val="02010609060101010101"/>
    <w:charset w:val="86"/>
    <w:family w:val="auto"/>
    <w:pitch w:val="default"/>
    <w:sig w:usb0="800002BF" w:usb1="38CF7CFA" w:usb2="00000016" w:usb3="00000000" w:csb0="00040001" w:csb1="00000000"/>
    <w:embedRegular r:id="rId2" w:fontKey="{DB59927E-B635-4A0A-BFBB-3A6DAFBDD72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auto"/>
    <w:pitch w:val="default"/>
    <w:sig w:usb0="A00002BF" w:usb1="184F6CFA" w:usb2="00000012" w:usb3="00000000" w:csb0="00040001" w:csb1="00000000"/>
    <w:embedRegular r:id="rId3" w:fontKey="{B86B900F-1D85-466D-BAAA-4ABE71378793}"/>
  </w:font>
  <w:font w:name="仿宋">
    <w:panose1 w:val="02010609060101010101"/>
    <w:charset w:val="86"/>
    <w:family w:val="modern"/>
    <w:pitch w:val="default"/>
    <w:sig w:usb0="800002BF" w:usb1="38CF7CFA" w:usb2="00000016" w:usb3="00000000" w:csb0="00040001" w:csb1="00000000"/>
    <w:embedRegular r:id="rId4" w:fontKey="{829C9749-ED3B-45D2-9563-D1DB51138D90}"/>
  </w:font>
  <w:font w:name="方正仿宋_GB2312">
    <w:panose1 w:val="02000000000000000000"/>
    <w:charset w:val="86"/>
    <w:family w:val="auto"/>
    <w:pitch w:val="default"/>
    <w:sig w:usb0="A00002BF" w:usb1="184F6CFA" w:usb2="00000012" w:usb3="00000000" w:csb0="00040001" w:csb1="00000000"/>
    <w:embedRegular r:id="rId5" w:fontKey="{3F309D8D-C4C1-49EB-AE53-F77BFA3989B9}"/>
  </w:font>
  <w:font w:name="仿宋_GB2312">
    <w:panose1 w:val="02010609030101010101"/>
    <w:charset w:val="86"/>
    <w:family w:val="modern"/>
    <w:pitch w:val="default"/>
    <w:sig w:usb0="00000001" w:usb1="080E0000" w:usb2="00000000" w:usb3="00000000" w:csb0="00040000" w:csb1="00000000"/>
    <w:embedRegular r:id="rId6" w:fontKey="{34E26E73-F7EF-4A53-9AC5-DAD86CAAEAAC}"/>
  </w:font>
  <w:font w:name="微软雅黑">
    <w:panose1 w:val="020B0503020204020204"/>
    <w:charset w:val="86"/>
    <w:family w:val="auto"/>
    <w:pitch w:val="default"/>
    <w:sig w:usb0="80000287" w:usb1="2ACF3C50" w:usb2="00000016" w:usb3="00000000" w:csb0="0004001F" w:csb1="00000000"/>
    <w:embedRegular r:id="rId7" w:fontKey="{E4C8ABCE-B77A-4CD5-88A2-C3BC891284E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Q1OWJhNjJkY2E2NDM0ZGU0ZWU2ZDNjZGZkYjUxZTYifQ=="/>
  </w:docVars>
  <w:rsids>
    <w:rsidRoot w:val="65D14578"/>
    <w:rsid w:val="008B67CB"/>
    <w:rsid w:val="00DD2AFD"/>
    <w:rsid w:val="0100375F"/>
    <w:rsid w:val="010C70B4"/>
    <w:rsid w:val="01F77F95"/>
    <w:rsid w:val="02257D31"/>
    <w:rsid w:val="024C0988"/>
    <w:rsid w:val="024D6E13"/>
    <w:rsid w:val="02BD25BC"/>
    <w:rsid w:val="0345026C"/>
    <w:rsid w:val="03AF622B"/>
    <w:rsid w:val="03C972ED"/>
    <w:rsid w:val="04643EBB"/>
    <w:rsid w:val="04695C6C"/>
    <w:rsid w:val="051B2E54"/>
    <w:rsid w:val="058C7E64"/>
    <w:rsid w:val="069A759F"/>
    <w:rsid w:val="06E51E4D"/>
    <w:rsid w:val="06E565A2"/>
    <w:rsid w:val="07A019A5"/>
    <w:rsid w:val="084C5F0C"/>
    <w:rsid w:val="09AD2157"/>
    <w:rsid w:val="09B36CFD"/>
    <w:rsid w:val="09DB182A"/>
    <w:rsid w:val="0A5F0CC8"/>
    <w:rsid w:val="0D0E6672"/>
    <w:rsid w:val="0DA731BE"/>
    <w:rsid w:val="0DC40684"/>
    <w:rsid w:val="0F80030D"/>
    <w:rsid w:val="0F8261EE"/>
    <w:rsid w:val="0FD97B08"/>
    <w:rsid w:val="108B6964"/>
    <w:rsid w:val="112A7489"/>
    <w:rsid w:val="11392CF6"/>
    <w:rsid w:val="117D11CA"/>
    <w:rsid w:val="11A57986"/>
    <w:rsid w:val="11B74C64"/>
    <w:rsid w:val="12056686"/>
    <w:rsid w:val="126F08F1"/>
    <w:rsid w:val="12C9158C"/>
    <w:rsid w:val="13747240"/>
    <w:rsid w:val="147856D7"/>
    <w:rsid w:val="15393438"/>
    <w:rsid w:val="153E7F13"/>
    <w:rsid w:val="15DB2014"/>
    <w:rsid w:val="15E733D5"/>
    <w:rsid w:val="168B7CC4"/>
    <w:rsid w:val="16952937"/>
    <w:rsid w:val="16A872F3"/>
    <w:rsid w:val="17316B01"/>
    <w:rsid w:val="1741320A"/>
    <w:rsid w:val="188B723A"/>
    <w:rsid w:val="188C0658"/>
    <w:rsid w:val="18BB3557"/>
    <w:rsid w:val="19680E93"/>
    <w:rsid w:val="1B285D95"/>
    <w:rsid w:val="1C884062"/>
    <w:rsid w:val="1D0D57F1"/>
    <w:rsid w:val="1D3A1AFC"/>
    <w:rsid w:val="1D47425E"/>
    <w:rsid w:val="1D4913BD"/>
    <w:rsid w:val="1E495DC3"/>
    <w:rsid w:val="1E766E88"/>
    <w:rsid w:val="1EC56C8D"/>
    <w:rsid w:val="1EDF1807"/>
    <w:rsid w:val="1F280D29"/>
    <w:rsid w:val="1F693190"/>
    <w:rsid w:val="1FAB322C"/>
    <w:rsid w:val="207E53E4"/>
    <w:rsid w:val="2094559A"/>
    <w:rsid w:val="20AC0F62"/>
    <w:rsid w:val="20E256BF"/>
    <w:rsid w:val="212C5BFF"/>
    <w:rsid w:val="213056EF"/>
    <w:rsid w:val="21656DF2"/>
    <w:rsid w:val="21C04B25"/>
    <w:rsid w:val="22362064"/>
    <w:rsid w:val="22A36E3B"/>
    <w:rsid w:val="23E20C99"/>
    <w:rsid w:val="24650284"/>
    <w:rsid w:val="24D37C77"/>
    <w:rsid w:val="25662653"/>
    <w:rsid w:val="25990820"/>
    <w:rsid w:val="25D366B0"/>
    <w:rsid w:val="272F05B8"/>
    <w:rsid w:val="27D97F6F"/>
    <w:rsid w:val="28584889"/>
    <w:rsid w:val="28BE666E"/>
    <w:rsid w:val="28DA33FE"/>
    <w:rsid w:val="290D47D6"/>
    <w:rsid w:val="291322FD"/>
    <w:rsid w:val="2961404A"/>
    <w:rsid w:val="29930F11"/>
    <w:rsid w:val="2B73271D"/>
    <w:rsid w:val="2B844FB6"/>
    <w:rsid w:val="2C3279F5"/>
    <w:rsid w:val="2D8A6187"/>
    <w:rsid w:val="2E192EAC"/>
    <w:rsid w:val="2E3B5E2C"/>
    <w:rsid w:val="2E5B2D51"/>
    <w:rsid w:val="31077AEF"/>
    <w:rsid w:val="31576325"/>
    <w:rsid w:val="31586D85"/>
    <w:rsid w:val="3189016D"/>
    <w:rsid w:val="31F2254D"/>
    <w:rsid w:val="31F72E7E"/>
    <w:rsid w:val="32010A7D"/>
    <w:rsid w:val="320F130A"/>
    <w:rsid w:val="32341B6D"/>
    <w:rsid w:val="327019F5"/>
    <w:rsid w:val="327B0820"/>
    <w:rsid w:val="32C17977"/>
    <w:rsid w:val="32D92DF9"/>
    <w:rsid w:val="334F40FB"/>
    <w:rsid w:val="347250E2"/>
    <w:rsid w:val="347A51A8"/>
    <w:rsid w:val="349E2EFC"/>
    <w:rsid w:val="34B028EC"/>
    <w:rsid w:val="35A157B0"/>
    <w:rsid w:val="35DA6748"/>
    <w:rsid w:val="36863A05"/>
    <w:rsid w:val="38262F51"/>
    <w:rsid w:val="38815F70"/>
    <w:rsid w:val="39F63EFF"/>
    <w:rsid w:val="3AC90AB7"/>
    <w:rsid w:val="3B5D137F"/>
    <w:rsid w:val="3D6D2BB8"/>
    <w:rsid w:val="3D816F09"/>
    <w:rsid w:val="3D894D4E"/>
    <w:rsid w:val="3D9B37F8"/>
    <w:rsid w:val="3DCE15CF"/>
    <w:rsid w:val="3EAD617A"/>
    <w:rsid w:val="3F3D5750"/>
    <w:rsid w:val="3F7E6247"/>
    <w:rsid w:val="3F9F5FB3"/>
    <w:rsid w:val="4069536D"/>
    <w:rsid w:val="40AD420F"/>
    <w:rsid w:val="40C907D4"/>
    <w:rsid w:val="40E91C7A"/>
    <w:rsid w:val="41675BB3"/>
    <w:rsid w:val="417B5FBC"/>
    <w:rsid w:val="41CA2B9F"/>
    <w:rsid w:val="42B073CA"/>
    <w:rsid w:val="436274D2"/>
    <w:rsid w:val="436E1D40"/>
    <w:rsid w:val="44B5781B"/>
    <w:rsid w:val="44B615E2"/>
    <w:rsid w:val="45AE4016"/>
    <w:rsid w:val="45DA335A"/>
    <w:rsid w:val="463013AB"/>
    <w:rsid w:val="46732E9D"/>
    <w:rsid w:val="469D24CA"/>
    <w:rsid w:val="46AC3A98"/>
    <w:rsid w:val="46BC1650"/>
    <w:rsid w:val="47416D0C"/>
    <w:rsid w:val="474D7C19"/>
    <w:rsid w:val="477334C3"/>
    <w:rsid w:val="48724382"/>
    <w:rsid w:val="48976474"/>
    <w:rsid w:val="48A531BC"/>
    <w:rsid w:val="48D53747"/>
    <w:rsid w:val="48F371FB"/>
    <w:rsid w:val="4915390D"/>
    <w:rsid w:val="49C86065"/>
    <w:rsid w:val="4A143C74"/>
    <w:rsid w:val="4A7C5EB0"/>
    <w:rsid w:val="4AAC682E"/>
    <w:rsid w:val="4ADD1B95"/>
    <w:rsid w:val="4B296B88"/>
    <w:rsid w:val="4B62206D"/>
    <w:rsid w:val="505428F9"/>
    <w:rsid w:val="509A1C89"/>
    <w:rsid w:val="50A40272"/>
    <w:rsid w:val="50C224F6"/>
    <w:rsid w:val="510A099B"/>
    <w:rsid w:val="513B7615"/>
    <w:rsid w:val="52036CC7"/>
    <w:rsid w:val="52237FDB"/>
    <w:rsid w:val="52732A27"/>
    <w:rsid w:val="5283046F"/>
    <w:rsid w:val="52B0523E"/>
    <w:rsid w:val="535A0A0E"/>
    <w:rsid w:val="53E348F0"/>
    <w:rsid w:val="54375071"/>
    <w:rsid w:val="548D0188"/>
    <w:rsid w:val="55236D3E"/>
    <w:rsid w:val="55592780"/>
    <w:rsid w:val="55900083"/>
    <w:rsid w:val="5799217E"/>
    <w:rsid w:val="57DA4DB2"/>
    <w:rsid w:val="58044C05"/>
    <w:rsid w:val="590976B4"/>
    <w:rsid w:val="59691D21"/>
    <w:rsid w:val="59EE1679"/>
    <w:rsid w:val="5A29669B"/>
    <w:rsid w:val="5A3A397B"/>
    <w:rsid w:val="5A46154D"/>
    <w:rsid w:val="5A6D081F"/>
    <w:rsid w:val="5A804A1B"/>
    <w:rsid w:val="5ADE5979"/>
    <w:rsid w:val="5C284AD5"/>
    <w:rsid w:val="5C7F0CFE"/>
    <w:rsid w:val="5C8D706F"/>
    <w:rsid w:val="5C943217"/>
    <w:rsid w:val="5C9516BB"/>
    <w:rsid w:val="5D3B0D3E"/>
    <w:rsid w:val="5D417280"/>
    <w:rsid w:val="5FEB0C69"/>
    <w:rsid w:val="60721469"/>
    <w:rsid w:val="60D3786A"/>
    <w:rsid w:val="61CA1A26"/>
    <w:rsid w:val="61FF01EB"/>
    <w:rsid w:val="62055E3F"/>
    <w:rsid w:val="62683FE2"/>
    <w:rsid w:val="626E03F0"/>
    <w:rsid w:val="627D5CDF"/>
    <w:rsid w:val="628A7254"/>
    <w:rsid w:val="630B100E"/>
    <w:rsid w:val="637A26CC"/>
    <w:rsid w:val="639A466F"/>
    <w:rsid w:val="63AE2BB7"/>
    <w:rsid w:val="63D556A7"/>
    <w:rsid w:val="64875C0E"/>
    <w:rsid w:val="65D14578"/>
    <w:rsid w:val="668478F0"/>
    <w:rsid w:val="66941F1A"/>
    <w:rsid w:val="67127C7D"/>
    <w:rsid w:val="675D3727"/>
    <w:rsid w:val="67B10E9F"/>
    <w:rsid w:val="68210EBB"/>
    <w:rsid w:val="685E4692"/>
    <w:rsid w:val="68736B5D"/>
    <w:rsid w:val="694922EE"/>
    <w:rsid w:val="698B6D5A"/>
    <w:rsid w:val="69F73113"/>
    <w:rsid w:val="6A014013"/>
    <w:rsid w:val="6A1F10C3"/>
    <w:rsid w:val="6A4C0FBF"/>
    <w:rsid w:val="6ABC62EB"/>
    <w:rsid w:val="6AF45AEA"/>
    <w:rsid w:val="6B66453A"/>
    <w:rsid w:val="6B6C53C5"/>
    <w:rsid w:val="6BE83EB2"/>
    <w:rsid w:val="6C8F6DC0"/>
    <w:rsid w:val="6E620AC3"/>
    <w:rsid w:val="6F7B5355"/>
    <w:rsid w:val="702C2DA8"/>
    <w:rsid w:val="71593474"/>
    <w:rsid w:val="7166687D"/>
    <w:rsid w:val="718C272C"/>
    <w:rsid w:val="71905D3C"/>
    <w:rsid w:val="729F6F7A"/>
    <w:rsid w:val="72F25C21"/>
    <w:rsid w:val="72F32EEE"/>
    <w:rsid w:val="7306587D"/>
    <w:rsid w:val="733A6CBD"/>
    <w:rsid w:val="748C4390"/>
    <w:rsid w:val="75643B8A"/>
    <w:rsid w:val="759519CF"/>
    <w:rsid w:val="75D655FB"/>
    <w:rsid w:val="760B3A0C"/>
    <w:rsid w:val="7739782B"/>
    <w:rsid w:val="77556A88"/>
    <w:rsid w:val="77F84102"/>
    <w:rsid w:val="781327D0"/>
    <w:rsid w:val="78192C8B"/>
    <w:rsid w:val="79660E24"/>
    <w:rsid w:val="79B0209F"/>
    <w:rsid w:val="7A1C5906"/>
    <w:rsid w:val="7A305301"/>
    <w:rsid w:val="7AEB231B"/>
    <w:rsid w:val="7B036FEB"/>
    <w:rsid w:val="7B064757"/>
    <w:rsid w:val="7B13722D"/>
    <w:rsid w:val="7B882C9D"/>
    <w:rsid w:val="7C7D0DB9"/>
    <w:rsid w:val="7D0F17D2"/>
    <w:rsid w:val="7D3905FD"/>
    <w:rsid w:val="7DA041A9"/>
    <w:rsid w:val="7E8A1896"/>
    <w:rsid w:val="7ECA33CA"/>
    <w:rsid w:val="7F594F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3">
    <w:name w:val="heading 1"/>
    <w:basedOn w:val="1"/>
    <w:next w:val="1"/>
    <w:link w:val="14"/>
    <w:qFormat/>
    <w:uiPriority w:val="0"/>
    <w:pPr>
      <w:keepNext/>
      <w:keepLines/>
      <w:spacing w:line="560" w:lineRule="exact"/>
      <w:ind w:left="0" w:leftChars="0" w:right="0" w:rightChars="0"/>
      <w:jc w:val="center"/>
      <w:outlineLvl w:val="0"/>
    </w:pPr>
    <w:rPr>
      <w:rFonts w:ascii="Times New Roman" w:hAnsi="Times New Roman" w:eastAsia="方正小标宋简体"/>
      <w:color w:val="000000"/>
      <w:kern w:val="44"/>
      <w:sz w:val="44"/>
    </w:rPr>
  </w:style>
  <w:style w:type="paragraph" w:styleId="4">
    <w:name w:val="heading 2"/>
    <w:basedOn w:val="1"/>
    <w:next w:val="1"/>
    <w:link w:val="15"/>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2"/>
    <w:basedOn w:val="1"/>
    <w:next w:val="1"/>
    <w:qFormat/>
    <w:uiPriority w:val="0"/>
    <w:pPr>
      <w:spacing w:after="120"/>
      <w:ind w:left="420" w:leftChars="200" w:firstLine="420"/>
    </w:pPr>
  </w:style>
  <w:style w:type="paragraph" w:styleId="5">
    <w:name w:val="Normal Indent"/>
    <w:basedOn w:val="1"/>
    <w:qFormat/>
    <w:uiPriority w:val="0"/>
    <w:pPr>
      <w:autoSpaceDE w:val="0"/>
      <w:autoSpaceDN w:val="0"/>
      <w:adjustRightInd w:val="0"/>
      <w:spacing w:line="315" w:lineRule="atLeast"/>
      <w:ind w:left="720" w:firstLine="567"/>
    </w:pPr>
    <w:rPr>
      <w:rFonts w:ascii="宋体" w:hAnsi="宋体" w:eastAsia="宋体"/>
      <w:sz w:val="28"/>
      <w:lang w:val="en-US" w:eastAsia="zh-CN" w:bidi="ar-SA"/>
    </w:rPr>
  </w:style>
  <w:style w:type="paragraph" w:styleId="6">
    <w:name w:val="footer"/>
    <w:basedOn w:val="1"/>
    <w:qFormat/>
    <w:uiPriority w:val="0"/>
    <w:pPr>
      <w:tabs>
        <w:tab w:val="center" w:pos="4153"/>
        <w:tab w:val="right" w:pos="8306"/>
      </w:tabs>
      <w:snapToGrid w:val="0"/>
      <w:spacing w:line="240" w:lineRule="auto"/>
      <w:jc w:val="left"/>
    </w:pPr>
    <w:rPr>
      <w:rFonts w:eastAsia="宋体"/>
      <w:kern w:val="2"/>
      <w:sz w:val="18"/>
      <w:szCs w:val="18"/>
      <w:lang w:val="en-US" w:eastAsia="zh-CN" w:bidi="ar-SA"/>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0"/>
  </w:style>
  <w:style w:type="paragraph" w:styleId="9">
    <w:name w:val="toc 2"/>
    <w:basedOn w:val="1"/>
    <w:next w:val="1"/>
    <w:qFormat/>
    <w:uiPriority w:val="0"/>
    <w:pPr>
      <w:ind w:left="420" w:leftChars="200"/>
    </w:pPr>
  </w:style>
  <w:style w:type="paragraph" w:customStyle="1" w:styleId="12">
    <w:name w:val="Default"/>
    <w:qFormat/>
    <w:uiPriority w:val="0"/>
    <w:pPr>
      <w:widowControl w:val="0"/>
      <w:autoSpaceDE w:val="0"/>
      <w:autoSpaceDN w:val="0"/>
      <w:adjustRightInd w:val="0"/>
      <w:spacing w:line="240" w:lineRule="atLeast"/>
      <w:jc w:val="center"/>
    </w:pPr>
    <w:rPr>
      <w:rFonts w:ascii="Times New Roman" w:hAnsi="Calibri" w:eastAsia="宋体" w:cs="Times New Roman"/>
      <w:sz w:val="21"/>
      <w:szCs w:val="22"/>
      <w:lang w:val="en-US" w:eastAsia="zh-CN" w:bidi="ar-SA"/>
    </w:rPr>
  </w:style>
  <w:style w:type="paragraph" w:customStyle="1" w:styleId="13">
    <w:name w:val="普通(网站)1"/>
    <w:basedOn w:val="1"/>
    <w:qFormat/>
    <w:uiPriority w:val="0"/>
    <w:pPr>
      <w:jc w:val="left"/>
    </w:pPr>
    <w:rPr>
      <w:kern w:val="0"/>
      <w:sz w:val="24"/>
    </w:rPr>
  </w:style>
  <w:style w:type="character" w:customStyle="1" w:styleId="14">
    <w:name w:val="标题 1 Char"/>
    <w:link w:val="3"/>
    <w:qFormat/>
    <w:uiPriority w:val="0"/>
    <w:rPr>
      <w:rFonts w:ascii="Times New Roman" w:hAnsi="Times New Roman" w:eastAsia="方正小标宋简体"/>
      <w:color w:val="000000"/>
      <w:kern w:val="44"/>
      <w:sz w:val="44"/>
    </w:rPr>
  </w:style>
  <w:style w:type="character" w:customStyle="1" w:styleId="15">
    <w:name w:val="标题 2 Char"/>
    <w:link w:val="4"/>
    <w:qFormat/>
    <w:uiPriority w:val="0"/>
    <w:rPr>
      <w:rFonts w:ascii="Arial" w:hAnsi="Arial" w:eastAsia="黑体"/>
      <w:b/>
      <w:sz w:val="32"/>
    </w:rPr>
  </w:style>
  <w:style w:type="paragraph" w:customStyle="1" w:styleId="16">
    <w:name w:val="WPSOffice手动目录 1"/>
    <w:qFormat/>
    <w:uiPriority w:val="0"/>
    <w:pPr>
      <w:ind w:leftChars="0"/>
    </w:pPr>
    <w:rPr>
      <w:rFonts w:ascii="Times New Roman" w:hAnsi="Times New Roman" w:eastAsia="宋体" w:cs="Times New Roman"/>
      <w:sz w:val="20"/>
      <w:szCs w:val="20"/>
    </w:rPr>
  </w:style>
  <w:style w:type="paragraph" w:customStyle="1" w:styleId="17">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496</Words>
  <Characters>544</Characters>
  <Lines>0</Lines>
  <Paragraphs>0</Paragraphs>
  <TotalTime>18</TotalTime>
  <ScaleCrop>false</ScaleCrop>
  <LinksUpToDate>false</LinksUpToDate>
  <CharactersWithSpaces>585</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2023-08-15T07:32:00Z</dcterms:created>
  <dc:creator>WJH</dc:creator>
  <cp:lastModifiedBy>admin</cp:lastModifiedBy>
  <dcterms:modified xsi:type="dcterms:W3CDTF">2026-07-02T08:03:46Z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70CC140E0D144AF08F6F286F851043EB</vt:lpwstr>
  </property>
  <property fmtid="{D5CDD505-2E9C-101B-9397-08002B2CF9AE}" pid="4" name="KSOTemplateDocerSaveRecord">
    <vt:lpwstr>eyJoZGlkIjoiYzkyMzM4ODNmZThiZmExMTI4NTU1MTc1ZDQzNTJjMzQiLCJ1c2VySWQiOiI0MjE2OTIwMDEifQ==</vt:lpwstr>
  </property>
</Properties>
</file>