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kinsoku w:val="0"/>
        <w:autoSpaceDE w:val="0"/>
        <w:autoSpaceDN w:val="0"/>
        <w:adjustRightInd w:val="0"/>
        <w:snapToGrid w:val="0"/>
        <w:spacing w:line="259" w:lineRule="auto"/>
        <w:ind w:left="0" w:leftChars="0"/>
        <w:jc w:val="both"/>
        <w:textAlignment w:val="baseline"/>
        <w:outlineLvl w:val="9"/>
        <w:rPr>
          <w:rFonts w:hint="eastAsia" w:ascii="宋体" w:hAnsi="宋体" w:eastAsia="宋体" w:cs="宋体"/>
          <w:b/>
          <w:bCs/>
          <w:snapToGrid w:val="0"/>
          <w:color w:val="auto"/>
          <w:kern w:val="0"/>
          <w:sz w:val="48"/>
          <w:szCs w:val="48"/>
        </w:rPr>
      </w:pPr>
      <w:bookmarkStart w:id="152" w:name="_GoBack"/>
      <w:bookmarkEnd w:id="152"/>
    </w:p>
    <w:p>
      <w:pPr>
        <w:widowControl/>
        <w:kinsoku w:val="0"/>
        <w:autoSpaceDE w:val="0"/>
        <w:autoSpaceDN w:val="0"/>
        <w:adjustRightInd w:val="0"/>
        <w:snapToGrid w:val="0"/>
        <w:spacing w:line="259" w:lineRule="auto"/>
        <w:ind w:left="0" w:leftChars="0"/>
        <w:jc w:val="center"/>
        <w:textAlignment w:val="baseline"/>
        <w:outlineLvl w:val="9"/>
        <w:rPr>
          <w:rFonts w:hint="eastAsia" w:ascii="宋体" w:hAnsi="宋体" w:eastAsia="宋体" w:cs="宋体"/>
          <w:b/>
          <w:bCs/>
          <w:snapToGrid w:val="0"/>
          <w:color w:val="auto"/>
          <w:kern w:val="0"/>
          <w:sz w:val="48"/>
          <w:szCs w:val="48"/>
        </w:rPr>
      </w:pPr>
    </w:p>
    <w:p>
      <w:pPr>
        <w:spacing w:before="152" w:line="224" w:lineRule="auto"/>
        <w:ind w:left="809"/>
        <w:rPr>
          <w:rFonts w:ascii="宋体" w:hAnsi="宋体" w:eastAsia="宋体" w:cs="宋体"/>
          <w:sz w:val="47"/>
          <w:szCs w:val="47"/>
        </w:rPr>
      </w:pPr>
      <w:r>
        <w:rPr>
          <w:rFonts w:ascii="宋体" w:hAnsi="宋体" w:eastAsia="宋体" w:cs="宋体"/>
          <w:b/>
          <w:bCs/>
          <w:spacing w:val="5"/>
          <w:sz w:val="47"/>
          <w:szCs w:val="47"/>
        </w:rPr>
        <w:t>平山县新建生物质燃料基地项目</w:t>
      </w:r>
    </w:p>
    <w:p>
      <w:pPr>
        <w:widowControl/>
        <w:kinsoku w:val="0"/>
        <w:autoSpaceDE w:val="0"/>
        <w:autoSpaceDN w:val="0"/>
        <w:adjustRightInd w:val="0"/>
        <w:snapToGrid w:val="0"/>
        <w:spacing w:line="259" w:lineRule="auto"/>
        <w:ind w:left="0" w:leftChars="0"/>
        <w:jc w:val="center"/>
        <w:textAlignment w:val="baseline"/>
        <w:outlineLvl w:val="9"/>
        <w:rPr>
          <w:rFonts w:hint="eastAsia" w:ascii="宋体" w:hAnsi="宋体" w:eastAsia="宋体" w:cs="宋体"/>
          <w:b/>
          <w:bCs/>
          <w:snapToGrid w:val="0"/>
          <w:color w:val="auto"/>
          <w:kern w:val="0"/>
          <w:sz w:val="48"/>
          <w:szCs w:val="48"/>
          <w:lang w:eastAsia="zh-CN"/>
        </w:rPr>
      </w:pPr>
    </w:p>
    <w:p>
      <w:pPr>
        <w:widowControl/>
        <w:kinsoku w:val="0"/>
        <w:autoSpaceDE w:val="0"/>
        <w:autoSpaceDN w:val="0"/>
        <w:adjustRightInd w:val="0"/>
        <w:snapToGrid w:val="0"/>
        <w:spacing w:line="259" w:lineRule="auto"/>
        <w:ind w:left="0" w:leftChars="0"/>
        <w:jc w:val="center"/>
        <w:textAlignment w:val="baseline"/>
        <w:outlineLvl w:val="9"/>
        <w:rPr>
          <w:rFonts w:hint="eastAsia" w:ascii="宋体" w:hAnsi="宋体" w:eastAsia="宋体" w:cs="宋体"/>
          <w:b/>
          <w:bCs/>
          <w:snapToGrid w:val="0"/>
          <w:color w:val="auto"/>
          <w:kern w:val="0"/>
          <w:sz w:val="48"/>
          <w:szCs w:val="48"/>
          <w:lang w:eastAsia="zh-CN"/>
        </w:rPr>
      </w:pPr>
    </w:p>
    <w:p>
      <w:pPr>
        <w:widowControl/>
        <w:kinsoku w:val="0"/>
        <w:autoSpaceDE w:val="0"/>
        <w:autoSpaceDN w:val="0"/>
        <w:adjustRightInd w:val="0"/>
        <w:snapToGrid w:val="0"/>
        <w:spacing w:before="244" w:line="220" w:lineRule="auto"/>
        <w:ind w:left="0" w:leftChars="0"/>
        <w:jc w:val="center"/>
        <w:textAlignment w:val="baseline"/>
        <w:outlineLvl w:val="9"/>
        <w:rPr>
          <w:rFonts w:hint="eastAsia" w:ascii="宋体" w:hAnsi="宋体" w:eastAsia="宋体" w:cs="宋体"/>
          <w:b/>
          <w:bCs/>
          <w:snapToGrid w:val="0"/>
          <w:color w:val="auto"/>
          <w:spacing w:val="-35"/>
          <w:kern w:val="0"/>
          <w:sz w:val="75"/>
          <w:szCs w:val="75"/>
        </w:rPr>
      </w:pPr>
      <w:r>
        <w:rPr>
          <w:rFonts w:hint="eastAsia" w:ascii="宋体" w:hAnsi="宋体" w:eastAsia="宋体" w:cs="宋体"/>
          <w:b/>
          <w:bCs/>
          <w:snapToGrid w:val="0"/>
          <w:color w:val="auto"/>
          <w:spacing w:val="-35"/>
          <w:kern w:val="0"/>
          <w:sz w:val="75"/>
          <w:szCs w:val="75"/>
        </w:rPr>
        <w:t>实施方案</w:t>
      </w: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r>
        <w:rPr>
          <w:rFonts w:ascii="宋体" w:hAnsi="宋体" w:eastAsia="宋体" w:cs="宋体"/>
          <w:b/>
          <w:bCs/>
          <w:snapToGrid w:val="0"/>
          <w:color w:val="000000"/>
          <w:spacing w:val="-12"/>
          <w:kern w:val="0"/>
          <w:sz w:val="31"/>
          <w:szCs w:val="31"/>
          <w:lang w:val="en-US" w:eastAsia="en-US" w:bidi="ar-SA"/>
        </w:rPr>
        <w:t>主管部门：平山县新能源服务中心</w:t>
      </w: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r>
        <w:rPr>
          <w:rFonts w:ascii="宋体" w:hAnsi="宋体" w:eastAsia="宋体" w:cs="宋体"/>
          <w:b/>
          <w:bCs/>
          <w:snapToGrid w:val="0"/>
          <w:color w:val="000000"/>
          <w:spacing w:val="-12"/>
          <w:kern w:val="0"/>
          <w:sz w:val="31"/>
          <w:szCs w:val="31"/>
          <w:lang w:val="en-US" w:eastAsia="en-US" w:bidi="ar-SA"/>
        </w:rPr>
        <w:t>实施单位：平山县昌福生物质能源科技有限公司</w:t>
      </w: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hint="default" w:ascii="宋体" w:hAnsi="宋体" w:eastAsia="宋体" w:cs="宋体"/>
          <w:b/>
          <w:bCs/>
          <w:snapToGrid w:val="0"/>
          <w:color w:val="000000"/>
          <w:spacing w:val="-12"/>
          <w:kern w:val="0"/>
          <w:sz w:val="31"/>
          <w:szCs w:val="31"/>
          <w:lang w:val="en-US" w:eastAsia="zh-CN" w:bidi="ar-SA"/>
        </w:rPr>
      </w:pPr>
      <w:r>
        <w:rPr>
          <w:rFonts w:ascii="宋体" w:hAnsi="宋体" w:eastAsia="宋体" w:cs="宋体"/>
          <w:b/>
          <w:bCs/>
          <w:snapToGrid w:val="0"/>
          <w:color w:val="000000"/>
          <w:spacing w:val="-12"/>
          <w:kern w:val="0"/>
          <w:sz w:val="31"/>
          <w:szCs w:val="31"/>
          <w:lang w:val="en-US" w:eastAsia="en-US" w:bidi="ar-SA"/>
        </w:rPr>
        <w:t>编制单位：</w:t>
      </w:r>
      <w:r>
        <w:rPr>
          <w:rFonts w:hint="eastAsia" w:ascii="宋体" w:hAnsi="宋体" w:cs="宋体"/>
          <w:b/>
          <w:bCs/>
          <w:snapToGrid w:val="0"/>
          <w:color w:val="000000"/>
          <w:spacing w:val="-12"/>
          <w:kern w:val="0"/>
          <w:sz w:val="31"/>
          <w:szCs w:val="31"/>
          <w:lang w:val="en-US" w:eastAsia="zh-CN" w:bidi="ar-SA"/>
        </w:rPr>
        <w:t>中平筑业设计有限公司</w:t>
      </w: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p>
    <w:p>
      <w:pPr>
        <w:widowControl/>
        <w:kinsoku w:val="0"/>
        <w:autoSpaceDE w:val="0"/>
        <w:autoSpaceDN w:val="0"/>
        <w:adjustRightInd w:val="0"/>
        <w:snapToGrid w:val="0"/>
        <w:spacing w:before="100" w:line="225" w:lineRule="auto"/>
        <w:ind w:left="1829"/>
        <w:jc w:val="left"/>
        <w:textAlignment w:val="baseline"/>
        <w:rPr>
          <w:rFonts w:ascii="宋体" w:hAnsi="宋体" w:eastAsia="宋体" w:cs="宋体"/>
          <w:b/>
          <w:bCs/>
          <w:snapToGrid w:val="0"/>
          <w:color w:val="000000"/>
          <w:spacing w:val="-12"/>
          <w:kern w:val="0"/>
          <w:sz w:val="31"/>
          <w:szCs w:val="31"/>
          <w:lang w:val="en-US" w:eastAsia="en-US" w:bidi="ar-SA"/>
        </w:rPr>
      </w:pPr>
      <w:r>
        <w:rPr>
          <w:rFonts w:ascii="宋体" w:hAnsi="宋体" w:eastAsia="宋体" w:cs="宋体"/>
          <w:b/>
          <w:bCs/>
          <w:snapToGrid w:val="0"/>
          <w:color w:val="000000"/>
          <w:spacing w:val="-12"/>
          <w:kern w:val="0"/>
          <w:sz w:val="31"/>
          <w:szCs w:val="31"/>
          <w:lang w:val="en-US" w:eastAsia="en-US" w:bidi="ar-SA"/>
        </w:rPr>
        <w:t>编写日期：二零二</w:t>
      </w:r>
      <w:r>
        <w:rPr>
          <w:rFonts w:hint="eastAsia" w:ascii="宋体" w:hAnsi="宋体" w:cs="宋体"/>
          <w:b/>
          <w:bCs/>
          <w:snapToGrid w:val="0"/>
          <w:color w:val="000000"/>
          <w:spacing w:val="-12"/>
          <w:kern w:val="0"/>
          <w:sz w:val="31"/>
          <w:szCs w:val="31"/>
          <w:lang w:val="en-US" w:eastAsia="zh-CN" w:bidi="ar-SA"/>
        </w:rPr>
        <w:t>六</w:t>
      </w:r>
      <w:r>
        <w:rPr>
          <w:rFonts w:ascii="宋体" w:hAnsi="宋体" w:eastAsia="宋体" w:cs="宋体"/>
          <w:b/>
          <w:bCs/>
          <w:snapToGrid w:val="0"/>
          <w:color w:val="000000"/>
          <w:spacing w:val="-12"/>
          <w:kern w:val="0"/>
          <w:sz w:val="31"/>
          <w:szCs w:val="31"/>
          <w:lang w:val="en-US" w:eastAsia="en-US" w:bidi="ar-SA"/>
        </w:rPr>
        <w:t>年</w:t>
      </w:r>
      <w:r>
        <w:rPr>
          <w:rFonts w:hint="eastAsia" w:ascii="宋体" w:hAnsi="宋体" w:cs="宋体"/>
          <w:b/>
          <w:bCs/>
          <w:snapToGrid w:val="0"/>
          <w:color w:val="000000"/>
          <w:spacing w:val="-12"/>
          <w:kern w:val="0"/>
          <w:sz w:val="31"/>
          <w:szCs w:val="31"/>
          <w:lang w:val="en-US" w:eastAsia="zh-CN" w:bidi="ar-SA"/>
        </w:rPr>
        <w:t>三</w:t>
      </w:r>
      <w:r>
        <w:rPr>
          <w:rFonts w:ascii="宋体" w:hAnsi="宋体" w:eastAsia="宋体" w:cs="宋体"/>
          <w:b/>
          <w:bCs/>
          <w:snapToGrid w:val="0"/>
          <w:color w:val="000000"/>
          <w:spacing w:val="-12"/>
          <w:kern w:val="0"/>
          <w:sz w:val="31"/>
          <w:szCs w:val="31"/>
          <w:lang w:val="en-US" w:eastAsia="en-US" w:bidi="ar-SA"/>
        </w:rPr>
        <w:t>月</w:t>
      </w:r>
    </w:p>
    <w:p>
      <w:pPr>
        <w:pStyle w:val="4"/>
        <w:widowControl/>
        <w:kinsoku w:val="0"/>
        <w:autoSpaceDE w:val="0"/>
        <w:autoSpaceDN w:val="0"/>
        <w:adjustRightInd w:val="0"/>
        <w:snapToGrid w:val="0"/>
        <w:spacing w:line="254" w:lineRule="auto"/>
        <w:jc w:val="left"/>
        <w:textAlignment w:val="baseline"/>
        <w:rPr>
          <w:rFonts w:ascii="Arial" w:hAnsi="Arial" w:eastAsia="等线" w:cs="Arial"/>
          <w:b/>
          <w:sz w:val="32"/>
        </w:rPr>
      </w:pPr>
      <w:r>
        <w:rPr>
          <w:rFonts w:ascii="Arial" w:hAnsi="Arial" w:eastAsia="等线" w:cs="Arial"/>
          <w:b/>
          <w:sz w:val="32"/>
        </w:rPr>
        <w:br w:type="page"/>
      </w:r>
    </w:p>
    <w:p>
      <w:pPr>
        <w:pStyle w:val="4"/>
        <w:widowControl/>
        <w:kinsoku w:val="0"/>
        <w:autoSpaceDE w:val="0"/>
        <w:autoSpaceDN w:val="0"/>
        <w:adjustRightInd w:val="0"/>
        <w:snapToGrid w:val="0"/>
        <w:spacing w:line="254" w:lineRule="auto"/>
        <w:jc w:val="left"/>
        <w:textAlignment w:val="baseline"/>
        <w:rPr>
          <w:rFonts w:ascii="Arial" w:hAnsi="Arial" w:eastAsia="等线" w:cs="Arial"/>
          <w:b/>
          <w:sz w:val="32"/>
        </w:rPr>
      </w:pPr>
      <w:r>
        <w:rPr>
          <w:position w:val="-262"/>
        </w:rPr>
        <w:drawing>
          <wp:inline distT="0" distB="0" distL="0" distR="0">
            <wp:extent cx="5889625" cy="8333105"/>
            <wp:effectExtent l="0" t="0" r="15875" b="10795"/>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7"/>
                    <a:stretch>
                      <a:fillRect/>
                    </a:stretch>
                  </pic:blipFill>
                  <pic:spPr>
                    <a:xfrm>
                      <a:off x="0" y="0"/>
                      <a:ext cx="5890259" cy="8333231"/>
                    </a:xfrm>
                    <a:prstGeom prst="rect">
                      <a:avLst/>
                    </a:prstGeom>
                  </pic:spPr>
                </pic:pic>
              </a:graphicData>
            </a:graphic>
          </wp:inline>
        </w:drawing>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p>
    <w:p>
      <w:pPr>
        <w:spacing w:before="97" w:line="219" w:lineRule="auto"/>
        <w:ind w:left="455"/>
        <w:rPr>
          <w:rFonts w:ascii="宋体" w:hAnsi="宋体" w:eastAsia="宋体" w:cs="宋体"/>
          <w:spacing w:val="7"/>
          <w:sz w:val="30"/>
          <w:szCs w:val="30"/>
        </w:rPr>
      </w:pPr>
    </w:p>
    <w:p>
      <w:pPr>
        <w:spacing w:before="97" w:line="219" w:lineRule="auto"/>
        <w:ind w:left="455"/>
        <w:rPr>
          <w:rFonts w:ascii="宋体" w:hAnsi="宋体" w:eastAsia="宋体" w:cs="宋体"/>
          <w:spacing w:val="7"/>
          <w:sz w:val="30"/>
          <w:szCs w:val="30"/>
        </w:rPr>
      </w:pPr>
      <w:r>
        <w:rPr>
          <w:rFonts w:ascii="宋体" w:hAnsi="宋体" w:eastAsia="宋体" w:cs="宋体"/>
          <w:spacing w:val="7"/>
          <w:sz w:val="30"/>
          <w:szCs w:val="30"/>
        </w:rPr>
        <w:t>项目名称：</w:t>
      </w:r>
      <w:r>
        <w:rPr>
          <w:rFonts w:hint="eastAsia" w:ascii="宋体" w:hAnsi="宋体" w:eastAsia="宋体" w:cs="宋体"/>
          <w:spacing w:val="7"/>
          <w:sz w:val="30"/>
          <w:szCs w:val="30"/>
          <w:lang w:val="en-US" w:eastAsia="zh-CN"/>
        </w:rPr>
        <w:t>平山县新建生物质燃料基地项目</w:t>
      </w:r>
    </w:p>
    <w:p>
      <w:pPr>
        <w:pStyle w:val="4"/>
        <w:spacing w:line="477" w:lineRule="auto"/>
      </w:pPr>
    </w:p>
    <w:p>
      <w:pPr>
        <w:spacing w:before="97" w:line="219" w:lineRule="auto"/>
        <w:ind w:left="455"/>
        <w:rPr>
          <w:rFonts w:ascii="宋体" w:hAnsi="宋体" w:eastAsia="宋体" w:cs="宋体"/>
          <w:sz w:val="30"/>
          <w:szCs w:val="30"/>
        </w:rPr>
      </w:pPr>
      <w:r>
        <w:rPr>
          <w:rFonts w:ascii="宋体" w:hAnsi="宋体" w:eastAsia="宋体" w:cs="宋体"/>
          <w:spacing w:val="7"/>
          <w:sz w:val="30"/>
          <w:szCs w:val="30"/>
        </w:rPr>
        <w:t>建设地点：</w:t>
      </w:r>
      <w:r>
        <w:rPr>
          <w:rFonts w:hint="eastAsia" w:ascii="宋体" w:hAnsi="宋体" w:eastAsia="宋体" w:cs="宋体"/>
          <w:spacing w:val="7"/>
          <w:sz w:val="30"/>
          <w:szCs w:val="30"/>
        </w:rPr>
        <w:t>平山县东回舍镇东回舍村嘉阳物流园区18号</w:t>
      </w:r>
    </w:p>
    <w:p>
      <w:pPr>
        <w:pStyle w:val="4"/>
      </w:pPr>
    </w:p>
    <w:p>
      <w:pPr>
        <w:pStyle w:val="4"/>
      </w:pPr>
    </w:p>
    <w:p>
      <w:pPr>
        <w:spacing w:before="98" w:line="219" w:lineRule="auto"/>
        <w:ind w:left="453"/>
        <w:rPr>
          <w:rFonts w:ascii="宋体" w:hAnsi="宋体" w:eastAsia="宋体" w:cs="宋体"/>
          <w:sz w:val="30"/>
          <w:szCs w:val="30"/>
        </w:rPr>
      </w:pPr>
      <w:r>
        <w:rPr>
          <w:rFonts w:ascii="宋体" w:hAnsi="宋体" w:eastAsia="宋体" w:cs="宋体"/>
          <w:spacing w:val="6"/>
          <w:sz w:val="30"/>
          <w:szCs w:val="30"/>
        </w:rPr>
        <w:t>编制单位：中平筑业设计有限公司</w:t>
      </w:r>
    </w:p>
    <w:p>
      <w:pPr>
        <w:pStyle w:val="4"/>
        <w:spacing w:line="395" w:lineRule="auto"/>
      </w:pPr>
    </w:p>
    <w:p>
      <w:pPr>
        <w:spacing w:before="97" w:line="219" w:lineRule="auto"/>
        <w:ind w:left="461"/>
        <w:rPr>
          <w:rFonts w:ascii="宋体" w:hAnsi="宋体" w:eastAsia="宋体" w:cs="宋体"/>
          <w:sz w:val="30"/>
          <w:szCs w:val="30"/>
        </w:rPr>
      </w:pPr>
      <w:r>
        <w:rPr>
          <w:rFonts w:ascii="宋体" w:hAnsi="宋体" w:eastAsia="宋体" w:cs="宋体"/>
          <w:spacing w:val="6"/>
          <w:sz w:val="30"/>
          <w:szCs w:val="30"/>
        </w:rPr>
        <w:t>证书编号：A352013758</w:t>
      </w:r>
    </w:p>
    <w:p>
      <w:pPr>
        <w:pStyle w:val="4"/>
        <w:spacing w:line="437" w:lineRule="auto"/>
      </w:pPr>
    </w:p>
    <w:p>
      <w:pPr>
        <w:spacing w:before="98" w:line="219" w:lineRule="auto"/>
        <w:ind w:left="433"/>
        <w:rPr>
          <w:rFonts w:ascii="宋体" w:hAnsi="宋体" w:eastAsia="宋体" w:cs="宋体"/>
          <w:sz w:val="30"/>
          <w:szCs w:val="30"/>
        </w:rPr>
      </w:pPr>
      <w:r>
        <w:rPr>
          <w:rFonts w:ascii="宋体" w:hAnsi="宋体" w:eastAsia="宋体" w:cs="宋体"/>
          <w:spacing w:val="-10"/>
          <w:sz w:val="30"/>
          <w:szCs w:val="30"/>
        </w:rPr>
        <w:t>资质等级：乙级</w:t>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p>
    <w:p>
      <w:pPr>
        <w:widowControl/>
        <w:kinsoku w:val="0"/>
        <w:autoSpaceDE w:val="0"/>
        <w:autoSpaceDN w:val="0"/>
        <w:adjustRightInd w:val="0"/>
        <w:snapToGrid w:val="0"/>
        <w:spacing w:before="124" w:line="223" w:lineRule="auto"/>
        <w:jc w:val="both"/>
        <w:textAlignment w:val="baseline"/>
        <w:outlineLvl w:val="0"/>
        <w:rPr>
          <w:rFonts w:ascii="宋体" w:hAnsi="宋体" w:eastAsia="宋体" w:cs="宋体"/>
          <w:b/>
          <w:bCs/>
          <w:snapToGrid w:val="0"/>
          <w:color w:val="000000"/>
          <w:spacing w:val="9"/>
          <w:kern w:val="0"/>
          <w:sz w:val="38"/>
          <w:szCs w:val="38"/>
          <w:lang w:val="en-US" w:eastAsia="en-US" w:bidi="ar-SA"/>
        </w:rPr>
        <w:sectPr>
          <w:pgSz w:w="11905" w:h="16840"/>
          <w:pgNumType w:fmt="numberInDash"/>
          <w:cols w:space="720" w:num="1"/>
        </w:sectPr>
      </w:pPr>
    </w:p>
    <w:sdt>
      <w:sdtPr>
        <w:rPr>
          <w:rFonts w:ascii="宋体" w:hAnsi="宋体" w:eastAsia="宋体"/>
          <w:sz w:val="32"/>
          <w:szCs w:val="36"/>
        </w:rPr>
        <w:id w:val="147478026"/>
        <w15:color w:val="DBDBDB"/>
        <w:docPartObj>
          <w:docPartGallery w:val="Table of Contents"/>
          <w:docPartUnique/>
        </w:docPartObj>
      </w:sdtPr>
      <w:sdtEndPr>
        <w:rPr>
          <w:rFonts w:ascii="宋体" w:hAnsi="宋体" w:eastAsia="宋体"/>
          <w:sz w:val="28"/>
          <w:szCs w:val="24"/>
        </w:rPr>
      </w:sdtEndPr>
      <w:sdtContent>
        <w:p>
          <w:pPr>
            <w:spacing w:before="0" w:beforeLines="0" w:after="0" w:afterLines="0" w:line="240" w:lineRule="auto"/>
            <w:ind w:left="0" w:leftChars="0" w:right="0" w:rightChars="0" w:firstLine="0" w:firstLineChars="0"/>
            <w:jc w:val="center"/>
            <w:rPr>
              <w:sz w:val="48"/>
              <w:szCs w:val="52"/>
            </w:rPr>
          </w:pPr>
          <w:r>
            <w:rPr>
              <w:rFonts w:ascii="宋体" w:hAnsi="宋体" w:eastAsia="宋体"/>
              <w:sz w:val="48"/>
              <w:szCs w:val="52"/>
            </w:rPr>
            <w:t>目录</w:t>
          </w:r>
        </w:p>
        <w:p>
          <w:pPr>
            <w:pStyle w:val="8"/>
            <w:tabs>
              <w:tab w:val="right" w:leader="dot" w:pos="9741"/>
            </w:tabs>
            <w:rPr>
              <w:sz w:val="28"/>
              <w:szCs w:val="32"/>
            </w:rPr>
          </w:pPr>
          <w:r>
            <w:rPr>
              <w:sz w:val="56"/>
              <w:szCs w:val="56"/>
            </w:rPr>
            <w:fldChar w:fldCharType="begin"/>
          </w:r>
          <w:r>
            <w:rPr>
              <w:sz w:val="56"/>
              <w:szCs w:val="56"/>
            </w:rPr>
            <w:instrText xml:space="preserve">TOC \o "1-3" \h \u </w:instrText>
          </w:r>
          <w:r>
            <w:rPr>
              <w:sz w:val="56"/>
              <w:szCs w:val="56"/>
            </w:rPr>
            <w:fldChar w:fldCharType="separate"/>
          </w:r>
          <w:r>
            <w:rPr>
              <w:sz w:val="28"/>
              <w:szCs w:val="56"/>
            </w:rPr>
            <w:fldChar w:fldCharType="begin"/>
          </w:r>
          <w:r>
            <w:rPr>
              <w:sz w:val="28"/>
              <w:szCs w:val="56"/>
            </w:rPr>
            <w:instrText xml:space="preserve"> HYPERLINK \l _Toc8838 </w:instrText>
          </w:r>
          <w:r>
            <w:rPr>
              <w:sz w:val="28"/>
              <w:szCs w:val="56"/>
            </w:rPr>
            <w:fldChar w:fldCharType="separate"/>
          </w:r>
          <w:r>
            <w:rPr>
              <w:rFonts w:ascii="宋体" w:hAnsi="宋体" w:eastAsia="宋体" w:cs="宋体"/>
              <w:bCs/>
              <w:snapToGrid w:val="0"/>
              <w:spacing w:val="9"/>
              <w:kern w:val="0"/>
              <w:sz w:val="28"/>
              <w:szCs w:val="48"/>
              <w:lang w:val="en-US" w:eastAsia="en-US" w:bidi="ar-SA"/>
            </w:rPr>
            <w:t>第一章 总说明</w:t>
          </w:r>
          <w:r>
            <w:rPr>
              <w:sz w:val="28"/>
              <w:szCs w:val="32"/>
            </w:rPr>
            <w:tab/>
          </w:r>
          <w:r>
            <w:rPr>
              <w:sz w:val="28"/>
              <w:szCs w:val="32"/>
            </w:rPr>
            <w:fldChar w:fldCharType="begin"/>
          </w:r>
          <w:r>
            <w:rPr>
              <w:sz w:val="28"/>
              <w:szCs w:val="32"/>
            </w:rPr>
            <w:instrText xml:space="preserve"> PAGEREF _Toc8838 \h </w:instrText>
          </w:r>
          <w:r>
            <w:rPr>
              <w:sz w:val="28"/>
              <w:szCs w:val="32"/>
            </w:rPr>
            <w:fldChar w:fldCharType="separate"/>
          </w:r>
          <w:r>
            <w:rPr>
              <w:sz w:val="28"/>
              <w:szCs w:val="32"/>
            </w:rPr>
            <w:t>- 1 -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_Toc12056 </w:instrText>
          </w:r>
          <w:r>
            <w:rPr>
              <w:sz w:val="28"/>
              <w:szCs w:val="56"/>
            </w:rPr>
            <w:fldChar w:fldCharType="separate"/>
          </w:r>
          <w:r>
            <w:rPr>
              <w:rFonts w:ascii="宋体" w:hAnsi="宋体" w:eastAsia="宋体" w:cs="宋体"/>
              <w:bCs/>
              <w:snapToGrid w:val="0"/>
              <w:spacing w:val="4"/>
              <w:kern w:val="0"/>
              <w:sz w:val="28"/>
              <w:szCs w:val="40"/>
              <w:lang w:val="en-US" w:eastAsia="en-US" w:bidi="ar-SA"/>
            </w:rPr>
            <w:t>1.1 项目概况</w:t>
          </w:r>
          <w:r>
            <w:rPr>
              <w:sz w:val="28"/>
              <w:szCs w:val="32"/>
            </w:rPr>
            <w:tab/>
          </w:r>
          <w:r>
            <w:rPr>
              <w:sz w:val="28"/>
              <w:szCs w:val="32"/>
            </w:rPr>
            <w:fldChar w:fldCharType="begin"/>
          </w:r>
          <w:r>
            <w:rPr>
              <w:sz w:val="28"/>
              <w:szCs w:val="32"/>
            </w:rPr>
            <w:instrText xml:space="preserve"> PAGEREF _Toc12056 \h </w:instrText>
          </w:r>
          <w:r>
            <w:rPr>
              <w:sz w:val="28"/>
              <w:szCs w:val="32"/>
            </w:rPr>
            <w:fldChar w:fldCharType="separate"/>
          </w:r>
          <w:r>
            <w:rPr>
              <w:sz w:val="28"/>
              <w:szCs w:val="32"/>
            </w:rPr>
            <w:t>- 1 -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_Toc26020 </w:instrText>
          </w:r>
          <w:r>
            <w:rPr>
              <w:sz w:val="28"/>
              <w:szCs w:val="56"/>
            </w:rPr>
            <w:fldChar w:fldCharType="separate"/>
          </w:r>
          <w:r>
            <w:rPr>
              <w:rFonts w:ascii="宋体" w:hAnsi="宋体" w:eastAsia="宋体" w:cs="宋体"/>
              <w:bCs/>
              <w:snapToGrid w:val="0"/>
              <w:spacing w:val="4"/>
              <w:kern w:val="0"/>
              <w:sz w:val="28"/>
              <w:szCs w:val="40"/>
              <w:lang w:val="en-US" w:eastAsia="en-US" w:bidi="ar-SA"/>
            </w:rPr>
            <w:t>1.2 主管部门</w:t>
          </w:r>
          <w:r>
            <w:rPr>
              <w:sz w:val="28"/>
              <w:szCs w:val="32"/>
            </w:rPr>
            <w:tab/>
          </w:r>
          <w:r>
            <w:rPr>
              <w:sz w:val="28"/>
              <w:szCs w:val="32"/>
            </w:rPr>
            <w:fldChar w:fldCharType="begin"/>
          </w:r>
          <w:r>
            <w:rPr>
              <w:sz w:val="28"/>
              <w:szCs w:val="32"/>
            </w:rPr>
            <w:instrText xml:space="preserve"> PAGEREF _Toc26020 \h </w:instrText>
          </w:r>
          <w:r>
            <w:rPr>
              <w:sz w:val="28"/>
              <w:szCs w:val="32"/>
            </w:rPr>
            <w:fldChar w:fldCharType="separate"/>
          </w:r>
          <w:r>
            <w:rPr>
              <w:sz w:val="28"/>
              <w:szCs w:val="32"/>
            </w:rPr>
            <w:t>- 1 -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_Toc14312 </w:instrText>
          </w:r>
          <w:r>
            <w:rPr>
              <w:sz w:val="28"/>
              <w:szCs w:val="56"/>
            </w:rPr>
            <w:fldChar w:fldCharType="separate"/>
          </w:r>
          <w:r>
            <w:rPr>
              <w:rFonts w:ascii="宋体" w:hAnsi="宋体" w:eastAsia="宋体" w:cs="宋体"/>
              <w:bCs/>
              <w:snapToGrid w:val="0"/>
              <w:spacing w:val="4"/>
              <w:kern w:val="0"/>
              <w:sz w:val="28"/>
              <w:szCs w:val="40"/>
              <w:lang w:val="en-US" w:eastAsia="en-US" w:bidi="ar-SA"/>
            </w:rPr>
            <w:t>1.3 承担单位</w:t>
          </w:r>
          <w:r>
            <w:rPr>
              <w:sz w:val="28"/>
              <w:szCs w:val="32"/>
            </w:rPr>
            <w:tab/>
          </w:r>
          <w:r>
            <w:rPr>
              <w:sz w:val="28"/>
              <w:szCs w:val="32"/>
            </w:rPr>
            <w:fldChar w:fldCharType="begin"/>
          </w:r>
          <w:r>
            <w:rPr>
              <w:sz w:val="28"/>
              <w:szCs w:val="32"/>
            </w:rPr>
            <w:instrText xml:space="preserve"> PAGEREF _Toc14312 \h </w:instrText>
          </w:r>
          <w:r>
            <w:rPr>
              <w:sz w:val="28"/>
              <w:szCs w:val="32"/>
            </w:rPr>
            <w:fldChar w:fldCharType="separate"/>
          </w:r>
          <w:r>
            <w:rPr>
              <w:sz w:val="28"/>
              <w:szCs w:val="32"/>
            </w:rPr>
            <w:t>- 1 -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_Toc32596 </w:instrText>
          </w:r>
          <w:r>
            <w:rPr>
              <w:sz w:val="28"/>
              <w:szCs w:val="56"/>
            </w:rPr>
            <w:fldChar w:fldCharType="separate"/>
          </w:r>
          <w:r>
            <w:rPr>
              <w:rFonts w:ascii="宋体" w:hAnsi="宋体" w:eastAsia="宋体" w:cs="宋体"/>
              <w:bCs/>
              <w:snapToGrid w:val="0"/>
              <w:spacing w:val="4"/>
              <w:kern w:val="0"/>
              <w:sz w:val="28"/>
              <w:szCs w:val="40"/>
              <w:lang w:val="en-US" w:eastAsia="en-US" w:bidi="ar-SA"/>
            </w:rPr>
            <w:t>1.4 建设地点</w:t>
          </w:r>
          <w:r>
            <w:rPr>
              <w:sz w:val="28"/>
              <w:szCs w:val="32"/>
            </w:rPr>
            <w:tab/>
          </w:r>
          <w:r>
            <w:rPr>
              <w:sz w:val="28"/>
              <w:szCs w:val="32"/>
            </w:rPr>
            <w:fldChar w:fldCharType="begin"/>
          </w:r>
          <w:r>
            <w:rPr>
              <w:sz w:val="28"/>
              <w:szCs w:val="32"/>
            </w:rPr>
            <w:instrText xml:space="preserve"> PAGEREF _Toc32596 \h </w:instrText>
          </w:r>
          <w:r>
            <w:rPr>
              <w:sz w:val="28"/>
              <w:szCs w:val="32"/>
            </w:rPr>
            <w:fldChar w:fldCharType="separate"/>
          </w:r>
          <w:r>
            <w:rPr>
              <w:sz w:val="28"/>
              <w:szCs w:val="32"/>
            </w:rPr>
            <w:t>- 2 -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_Toc20114 </w:instrText>
          </w:r>
          <w:r>
            <w:rPr>
              <w:sz w:val="28"/>
              <w:szCs w:val="56"/>
            </w:rPr>
            <w:fldChar w:fldCharType="separate"/>
          </w:r>
          <w:r>
            <w:rPr>
              <w:rFonts w:ascii="宋体" w:hAnsi="宋体" w:eastAsia="宋体" w:cs="宋体"/>
              <w:bCs/>
              <w:snapToGrid w:val="0"/>
              <w:spacing w:val="4"/>
              <w:kern w:val="0"/>
              <w:sz w:val="28"/>
              <w:szCs w:val="40"/>
              <w:lang w:val="en-US" w:eastAsia="en-US" w:bidi="ar-SA"/>
            </w:rPr>
            <w:t>1.5 建设目标</w:t>
          </w:r>
          <w:r>
            <w:rPr>
              <w:sz w:val="28"/>
              <w:szCs w:val="32"/>
            </w:rPr>
            <w:tab/>
          </w:r>
          <w:r>
            <w:rPr>
              <w:sz w:val="28"/>
              <w:szCs w:val="32"/>
            </w:rPr>
            <w:fldChar w:fldCharType="begin"/>
          </w:r>
          <w:r>
            <w:rPr>
              <w:sz w:val="28"/>
              <w:szCs w:val="32"/>
            </w:rPr>
            <w:instrText xml:space="preserve"> PAGEREF _Toc20114 \h </w:instrText>
          </w:r>
          <w:r>
            <w:rPr>
              <w:sz w:val="28"/>
              <w:szCs w:val="32"/>
            </w:rPr>
            <w:fldChar w:fldCharType="separate"/>
          </w:r>
          <w:r>
            <w:rPr>
              <w:sz w:val="28"/>
              <w:szCs w:val="32"/>
            </w:rPr>
            <w:t>- 2 -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_Toc4038 </w:instrText>
          </w:r>
          <w:r>
            <w:rPr>
              <w:sz w:val="28"/>
              <w:szCs w:val="56"/>
            </w:rPr>
            <w:fldChar w:fldCharType="separate"/>
          </w:r>
          <w:r>
            <w:rPr>
              <w:rFonts w:ascii="宋体" w:hAnsi="宋体" w:eastAsia="宋体" w:cs="宋体"/>
              <w:bCs/>
              <w:snapToGrid w:val="0"/>
              <w:spacing w:val="4"/>
              <w:kern w:val="0"/>
              <w:sz w:val="28"/>
              <w:szCs w:val="40"/>
              <w:lang w:val="en-US" w:eastAsia="en-US" w:bidi="ar-SA"/>
            </w:rPr>
            <w:t>1.6 建设期限</w:t>
          </w:r>
          <w:r>
            <w:rPr>
              <w:sz w:val="28"/>
              <w:szCs w:val="32"/>
            </w:rPr>
            <w:tab/>
          </w:r>
          <w:r>
            <w:rPr>
              <w:sz w:val="28"/>
              <w:szCs w:val="32"/>
            </w:rPr>
            <w:fldChar w:fldCharType="begin"/>
          </w:r>
          <w:r>
            <w:rPr>
              <w:sz w:val="28"/>
              <w:szCs w:val="32"/>
            </w:rPr>
            <w:instrText xml:space="preserve"> PAGEREF _Toc4038 \h </w:instrText>
          </w:r>
          <w:r>
            <w:rPr>
              <w:sz w:val="28"/>
              <w:szCs w:val="32"/>
            </w:rPr>
            <w:fldChar w:fldCharType="separate"/>
          </w:r>
          <w:r>
            <w:rPr>
              <w:sz w:val="28"/>
              <w:szCs w:val="32"/>
            </w:rPr>
            <w:t>- 2 -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_Toc8468 </w:instrText>
          </w:r>
          <w:r>
            <w:rPr>
              <w:sz w:val="28"/>
              <w:szCs w:val="56"/>
            </w:rPr>
            <w:fldChar w:fldCharType="separate"/>
          </w:r>
          <w:r>
            <w:rPr>
              <w:rFonts w:ascii="宋体" w:hAnsi="宋体" w:eastAsia="宋体" w:cs="宋体"/>
              <w:bCs/>
              <w:snapToGrid w:val="0"/>
              <w:spacing w:val="4"/>
              <w:kern w:val="0"/>
              <w:sz w:val="28"/>
              <w:szCs w:val="40"/>
              <w:lang w:val="en-US" w:eastAsia="en-US" w:bidi="ar-SA"/>
            </w:rPr>
            <w:t>1.7 编制依据</w:t>
          </w:r>
          <w:r>
            <w:rPr>
              <w:sz w:val="28"/>
              <w:szCs w:val="32"/>
            </w:rPr>
            <w:tab/>
          </w:r>
          <w:r>
            <w:rPr>
              <w:sz w:val="28"/>
              <w:szCs w:val="32"/>
            </w:rPr>
            <w:fldChar w:fldCharType="begin"/>
          </w:r>
          <w:r>
            <w:rPr>
              <w:sz w:val="28"/>
              <w:szCs w:val="32"/>
            </w:rPr>
            <w:instrText xml:space="preserve"> PAGEREF _Toc8468 \h </w:instrText>
          </w:r>
          <w:r>
            <w:rPr>
              <w:sz w:val="28"/>
              <w:szCs w:val="32"/>
            </w:rPr>
            <w:fldChar w:fldCharType="separate"/>
          </w:r>
          <w:r>
            <w:rPr>
              <w:sz w:val="28"/>
              <w:szCs w:val="32"/>
            </w:rPr>
            <w:t>- 2 -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_Toc2395 </w:instrText>
          </w:r>
          <w:r>
            <w:rPr>
              <w:sz w:val="28"/>
              <w:szCs w:val="56"/>
            </w:rPr>
            <w:fldChar w:fldCharType="separate"/>
          </w:r>
          <w:r>
            <w:rPr>
              <w:rFonts w:ascii="宋体" w:hAnsi="宋体" w:eastAsia="宋体" w:cs="宋体"/>
              <w:bCs/>
              <w:snapToGrid w:val="0"/>
              <w:spacing w:val="4"/>
              <w:kern w:val="0"/>
              <w:sz w:val="28"/>
              <w:szCs w:val="40"/>
              <w:lang w:val="en-US" w:eastAsia="en-US" w:bidi="ar-SA"/>
            </w:rPr>
            <w:t>1.8 建设原则</w:t>
          </w:r>
          <w:r>
            <w:rPr>
              <w:sz w:val="28"/>
              <w:szCs w:val="32"/>
            </w:rPr>
            <w:tab/>
          </w:r>
          <w:r>
            <w:rPr>
              <w:sz w:val="28"/>
              <w:szCs w:val="32"/>
            </w:rPr>
            <w:fldChar w:fldCharType="begin"/>
          </w:r>
          <w:r>
            <w:rPr>
              <w:sz w:val="28"/>
              <w:szCs w:val="32"/>
            </w:rPr>
            <w:instrText xml:space="preserve"> PAGEREF _Toc2395 \h </w:instrText>
          </w:r>
          <w:r>
            <w:rPr>
              <w:sz w:val="28"/>
              <w:szCs w:val="32"/>
            </w:rPr>
            <w:fldChar w:fldCharType="separate"/>
          </w:r>
          <w:r>
            <w:rPr>
              <w:sz w:val="28"/>
              <w:szCs w:val="32"/>
            </w:rPr>
            <w:t>- 2 -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_Toc27424 </w:instrText>
          </w:r>
          <w:r>
            <w:rPr>
              <w:sz w:val="28"/>
              <w:szCs w:val="56"/>
            </w:rPr>
            <w:fldChar w:fldCharType="separate"/>
          </w:r>
          <w:r>
            <w:rPr>
              <w:rFonts w:ascii="宋体" w:hAnsi="宋体" w:eastAsia="宋体" w:cs="宋体"/>
              <w:bCs/>
              <w:snapToGrid w:val="0"/>
              <w:spacing w:val="4"/>
              <w:kern w:val="0"/>
              <w:sz w:val="28"/>
              <w:szCs w:val="40"/>
              <w:lang w:val="en-US" w:eastAsia="en-US" w:bidi="ar-SA"/>
            </w:rPr>
            <w:t>1.9 建设内容及规模</w:t>
          </w:r>
          <w:r>
            <w:rPr>
              <w:sz w:val="28"/>
              <w:szCs w:val="32"/>
            </w:rPr>
            <w:tab/>
          </w:r>
          <w:r>
            <w:rPr>
              <w:sz w:val="28"/>
              <w:szCs w:val="32"/>
            </w:rPr>
            <w:fldChar w:fldCharType="begin"/>
          </w:r>
          <w:r>
            <w:rPr>
              <w:sz w:val="28"/>
              <w:szCs w:val="32"/>
            </w:rPr>
            <w:instrText xml:space="preserve"> PAGEREF _Toc27424 \h </w:instrText>
          </w:r>
          <w:r>
            <w:rPr>
              <w:sz w:val="28"/>
              <w:szCs w:val="32"/>
            </w:rPr>
            <w:fldChar w:fldCharType="separate"/>
          </w:r>
          <w:r>
            <w:rPr>
              <w:sz w:val="28"/>
              <w:szCs w:val="32"/>
            </w:rPr>
            <w:t>- 3 -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_Toc26738 </w:instrText>
          </w:r>
          <w:r>
            <w:rPr>
              <w:sz w:val="28"/>
              <w:szCs w:val="56"/>
            </w:rPr>
            <w:fldChar w:fldCharType="separate"/>
          </w:r>
          <w:r>
            <w:rPr>
              <w:rFonts w:ascii="宋体" w:hAnsi="宋体" w:eastAsia="宋体" w:cs="宋体"/>
              <w:bCs/>
              <w:snapToGrid w:val="0"/>
              <w:spacing w:val="4"/>
              <w:kern w:val="0"/>
              <w:sz w:val="28"/>
              <w:szCs w:val="40"/>
              <w:lang w:val="en-US" w:eastAsia="en-US" w:bidi="ar-SA"/>
            </w:rPr>
            <w:t>1.10 总概算</w:t>
          </w:r>
          <w:r>
            <w:rPr>
              <w:sz w:val="28"/>
              <w:szCs w:val="32"/>
            </w:rPr>
            <w:tab/>
          </w:r>
          <w:r>
            <w:rPr>
              <w:sz w:val="28"/>
              <w:szCs w:val="32"/>
            </w:rPr>
            <w:fldChar w:fldCharType="begin"/>
          </w:r>
          <w:r>
            <w:rPr>
              <w:sz w:val="28"/>
              <w:szCs w:val="32"/>
            </w:rPr>
            <w:instrText xml:space="preserve"> PAGEREF _Toc26738 \h </w:instrText>
          </w:r>
          <w:r>
            <w:rPr>
              <w:sz w:val="28"/>
              <w:szCs w:val="32"/>
            </w:rPr>
            <w:fldChar w:fldCharType="separate"/>
          </w:r>
          <w:r>
            <w:rPr>
              <w:sz w:val="28"/>
              <w:szCs w:val="32"/>
            </w:rPr>
            <w:t>- 4 -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_Toc28998 </w:instrText>
          </w:r>
          <w:r>
            <w:rPr>
              <w:sz w:val="28"/>
              <w:szCs w:val="56"/>
            </w:rPr>
            <w:fldChar w:fldCharType="separate"/>
          </w:r>
          <w:r>
            <w:rPr>
              <w:rFonts w:ascii="宋体" w:hAnsi="宋体" w:eastAsia="宋体" w:cs="宋体"/>
              <w:bCs/>
              <w:snapToGrid w:val="0"/>
              <w:spacing w:val="4"/>
              <w:kern w:val="0"/>
              <w:sz w:val="28"/>
              <w:szCs w:val="40"/>
              <w:lang w:val="en-US" w:eastAsia="en-US" w:bidi="ar-SA"/>
            </w:rPr>
            <w:t>1.11 资金筹措</w:t>
          </w:r>
          <w:r>
            <w:rPr>
              <w:sz w:val="28"/>
              <w:szCs w:val="32"/>
            </w:rPr>
            <w:tab/>
          </w:r>
          <w:r>
            <w:rPr>
              <w:sz w:val="28"/>
              <w:szCs w:val="32"/>
            </w:rPr>
            <w:fldChar w:fldCharType="begin"/>
          </w:r>
          <w:r>
            <w:rPr>
              <w:sz w:val="28"/>
              <w:szCs w:val="32"/>
            </w:rPr>
            <w:instrText xml:space="preserve"> PAGEREF _Toc28998 \h </w:instrText>
          </w:r>
          <w:r>
            <w:rPr>
              <w:sz w:val="28"/>
              <w:szCs w:val="32"/>
            </w:rPr>
            <w:fldChar w:fldCharType="separate"/>
          </w:r>
          <w:r>
            <w:rPr>
              <w:sz w:val="28"/>
              <w:szCs w:val="32"/>
            </w:rPr>
            <w:t>- 4 -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_Toc23137 </w:instrText>
          </w:r>
          <w:r>
            <w:rPr>
              <w:sz w:val="28"/>
              <w:szCs w:val="56"/>
            </w:rPr>
            <w:fldChar w:fldCharType="separate"/>
          </w:r>
          <w:r>
            <w:rPr>
              <w:rFonts w:ascii="宋体" w:hAnsi="宋体" w:eastAsia="宋体" w:cs="宋体"/>
              <w:bCs/>
              <w:snapToGrid w:val="0"/>
              <w:spacing w:val="4"/>
              <w:kern w:val="0"/>
              <w:sz w:val="28"/>
              <w:szCs w:val="40"/>
              <w:lang w:val="en-US" w:eastAsia="en-US" w:bidi="ar-SA"/>
            </w:rPr>
            <w:t>1.12 效益分析</w:t>
          </w:r>
          <w:r>
            <w:rPr>
              <w:sz w:val="28"/>
              <w:szCs w:val="32"/>
            </w:rPr>
            <w:tab/>
          </w:r>
          <w:r>
            <w:rPr>
              <w:sz w:val="28"/>
              <w:szCs w:val="32"/>
            </w:rPr>
            <w:fldChar w:fldCharType="begin"/>
          </w:r>
          <w:r>
            <w:rPr>
              <w:sz w:val="28"/>
              <w:szCs w:val="32"/>
            </w:rPr>
            <w:instrText xml:space="preserve"> PAGEREF _Toc23137 \h </w:instrText>
          </w:r>
          <w:r>
            <w:rPr>
              <w:sz w:val="28"/>
              <w:szCs w:val="32"/>
            </w:rPr>
            <w:fldChar w:fldCharType="separate"/>
          </w:r>
          <w:r>
            <w:rPr>
              <w:sz w:val="28"/>
              <w:szCs w:val="32"/>
            </w:rPr>
            <w:t>- 4 -</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_Toc17021 </w:instrText>
          </w:r>
          <w:r>
            <w:rPr>
              <w:sz w:val="28"/>
              <w:szCs w:val="56"/>
            </w:rPr>
            <w:fldChar w:fldCharType="separate"/>
          </w:r>
          <w:r>
            <w:rPr>
              <w:rFonts w:ascii="宋体" w:hAnsi="宋体" w:eastAsia="宋体" w:cs="宋体"/>
              <w:bCs/>
              <w:snapToGrid w:val="0"/>
              <w:spacing w:val="9"/>
              <w:kern w:val="0"/>
              <w:sz w:val="28"/>
              <w:szCs w:val="48"/>
              <w:lang w:val="en-US" w:eastAsia="en-US" w:bidi="ar-SA"/>
            </w:rPr>
            <w:t>第二章 项目建设背景及必要性</w:t>
          </w:r>
          <w:r>
            <w:rPr>
              <w:sz w:val="28"/>
              <w:szCs w:val="32"/>
            </w:rPr>
            <w:tab/>
          </w:r>
          <w:r>
            <w:rPr>
              <w:sz w:val="28"/>
              <w:szCs w:val="32"/>
            </w:rPr>
            <w:fldChar w:fldCharType="begin"/>
          </w:r>
          <w:r>
            <w:rPr>
              <w:sz w:val="28"/>
              <w:szCs w:val="32"/>
            </w:rPr>
            <w:instrText xml:space="preserve"> PAGEREF _Toc17021 \h </w:instrText>
          </w:r>
          <w:r>
            <w:rPr>
              <w:sz w:val="28"/>
              <w:szCs w:val="32"/>
            </w:rPr>
            <w:fldChar w:fldCharType="separate"/>
          </w:r>
          <w:r>
            <w:rPr>
              <w:sz w:val="28"/>
              <w:szCs w:val="32"/>
            </w:rPr>
            <w:t>- 6 -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_Toc21837 </w:instrText>
          </w:r>
          <w:r>
            <w:rPr>
              <w:sz w:val="28"/>
              <w:szCs w:val="56"/>
            </w:rPr>
            <w:fldChar w:fldCharType="separate"/>
          </w:r>
          <w:r>
            <w:rPr>
              <w:rFonts w:ascii="宋体" w:hAnsi="宋体" w:eastAsia="宋体" w:cs="宋体"/>
              <w:bCs/>
              <w:snapToGrid w:val="0"/>
              <w:spacing w:val="4"/>
              <w:kern w:val="0"/>
              <w:sz w:val="28"/>
              <w:szCs w:val="40"/>
              <w:lang w:val="en-US" w:eastAsia="en-US" w:bidi="ar-SA"/>
            </w:rPr>
            <w:t>2.1 项目建设背景</w:t>
          </w:r>
          <w:r>
            <w:rPr>
              <w:sz w:val="28"/>
              <w:szCs w:val="32"/>
            </w:rPr>
            <w:tab/>
          </w:r>
          <w:r>
            <w:rPr>
              <w:sz w:val="28"/>
              <w:szCs w:val="32"/>
            </w:rPr>
            <w:fldChar w:fldCharType="begin"/>
          </w:r>
          <w:r>
            <w:rPr>
              <w:sz w:val="28"/>
              <w:szCs w:val="32"/>
            </w:rPr>
            <w:instrText xml:space="preserve"> PAGEREF _Toc21837 \h </w:instrText>
          </w:r>
          <w:r>
            <w:rPr>
              <w:sz w:val="28"/>
              <w:szCs w:val="32"/>
            </w:rPr>
            <w:fldChar w:fldCharType="separate"/>
          </w:r>
          <w:r>
            <w:rPr>
              <w:sz w:val="28"/>
              <w:szCs w:val="32"/>
            </w:rPr>
            <w:t>- 6 -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_Toc23330 </w:instrText>
          </w:r>
          <w:r>
            <w:rPr>
              <w:sz w:val="28"/>
              <w:szCs w:val="56"/>
            </w:rPr>
            <w:fldChar w:fldCharType="separate"/>
          </w:r>
          <w:r>
            <w:rPr>
              <w:rFonts w:ascii="宋体" w:hAnsi="宋体" w:eastAsia="宋体" w:cs="宋体"/>
              <w:bCs/>
              <w:snapToGrid w:val="0"/>
              <w:spacing w:val="4"/>
              <w:kern w:val="0"/>
              <w:sz w:val="28"/>
              <w:szCs w:val="40"/>
              <w:lang w:val="en-US" w:eastAsia="en-US" w:bidi="ar-SA"/>
            </w:rPr>
            <w:t>2.2 项目建设的必要性</w:t>
          </w:r>
          <w:r>
            <w:rPr>
              <w:sz w:val="28"/>
              <w:szCs w:val="32"/>
            </w:rPr>
            <w:tab/>
          </w:r>
          <w:r>
            <w:rPr>
              <w:sz w:val="28"/>
              <w:szCs w:val="32"/>
            </w:rPr>
            <w:fldChar w:fldCharType="begin"/>
          </w:r>
          <w:r>
            <w:rPr>
              <w:sz w:val="28"/>
              <w:szCs w:val="32"/>
            </w:rPr>
            <w:instrText xml:space="preserve"> PAGEREF _Toc23330 \h </w:instrText>
          </w:r>
          <w:r>
            <w:rPr>
              <w:sz w:val="28"/>
              <w:szCs w:val="32"/>
            </w:rPr>
            <w:fldChar w:fldCharType="separate"/>
          </w:r>
          <w:r>
            <w:rPr>
              <w:sz w:val="28"/>
              <w:szCs w:val="32"/>
            </w:rPr>
            <w:t>- 6 -</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_Toc28616 </w:instrText>
          </w:r>
          <w:r>
            <w:rPr>
              <w:sz w:val="28"/>
              <w:szCs w:val="56"/>
            </w:rPr>
            <w:fldChar w:fldCharType="separate"/>
          </w:r>
          <w:r>
            <w:rPr>
              <w:rFonts w:ascii="宋体" w:hAnsi="宋体" w:eastAsia="宋体" w:cs="宋体"/>
              <w:bCs/>
              <w:snapToGrid w:val="0"/>
              <w:spacing w:val="9"/>
              <w:kern w:val="0"/>
              <w:sz w:val="28"/>
              <w:szCs w:val="48"/>
              <w:lang w:val="en-US" w:eastAsia="en-US" w:bidi="ar-SA"/>
            </w:rPr>
            <w:t>第三章 建设条件与落实情况</w:t>
          </w:r>
          <w:r>
            <w:rPr>
              <w:sz w:val="28"/>
              <w:szCs w:val="32"/>
            </w:rPr>
            <w:tab/>
          </w:r>
          <w:r>
            <w:rPr>
              <w:sz w:val="28"/>
              <w:szCs w:val="32"/>
            </w:rPr>
            <w:fldChar w:fldCharType="begin"/>
          </w:r>
          <w:r>
            <w:rPr>
              <w:sz w:val="28"/>
              <w:szCs w:val="32"/>
            </w:rPr>
            <w:instrText xml:space="preserve"> PAGEREF _Toc28616 \h </w:instrText>
          </w:r>
          <w:r>
            <w:rPr>
              <w:sz w:val="28"/>
              <w:szCs w:val="32"/>
            </w:rPr>
            <w:fldChar w:fldCharType="separate"/>
          </w:r>
          <w:r>
            <w:rPr>
              <w:sz w:val="28"/>
              <w:szCs w:val="32"/>
            </w:rPr>
            <w:t>- 8 -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_Toc23702 </w:instrText>
          </w:r>
          <w:r>
            <w:rPr>
              <w:sz w:val="28"/>
              <w:szCs w:val="56"/>
            </w:rPr>
            <w:fldChar w:fldCharType="separate"/>
          </w:r>
          <w:r>
            <w:rPr>
              <w:rFonts w:ascii="宋体" w:hAnsi="宋体" w:eastAsia="宋体" w:cs="宋体"/>
              <w:bCs/>
              <w:snapToGrid w:val="0"/>
              <w:spacing w:val="4"/>
              <w:kern w:val="0"/>
              <w:sz w:val="28"/>
              <w:szCs w:val="40"/>
              <w:lang w:val="en-US" w:eastAsia="en-US" w:bidi="ar-SA"/>
            </w:rPr>
            <w:t>3.1 项目建设地点</w:t>
          </w:r>
          <w:r>
            <w:rPr>
              <w:sz w:val="28"/>
              <w:szCs w:val="32"/>
            </w:rPr>
            <w:tab/>
          </w:r>
          <w:r>
            <w:rPr>
              <w:sz w:val="28"/>
              <w:szCs w:val="32"/>
            </w:rPr>
            <w:fldChar w:fldCharType="begin"/>
          </w:r>
          <w:r>
            <w:rPr>
              <w:sz w:val="28"/>
              <w:szCs w:val="32"/>
            </w:rPr>
            <w:instrText xml:space="preserve"> PAGEREF _Toc23702 \h </w:instrText>
          </w:r>
          <w:r>
            <w:rPr>
              <w:sz w:val="28"/>
              <w:szCs w:val="32"/>
            </w:rPr>
            <w:fldChar w:fldCharType="separate"/>
          </w:r>
          <w:r>
            <w:rPr>
              <w:sz w:val="28"/>
              <w:szCs w:val="32"/>
            </w:rPr>
            <w:t>- 8 -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_Toc32348 </w:instrText>
          </w:r>
          <w:r>
            <w:rPr>
              <w:sz w:val="28"/>
              <w:szCs w:val="56"/>
            </w:rPr>
            <w:fldChar w:fldCharType="separate"/>
          </w:r>
          <w:r>
            <w:rPr>
              <w:rFonts w:ascii="宋体" w:hAnsi="宋体" w:eastAsia="宋体" w:cs="宋体"/>
              <w:bCs/>
              <w:snapToGrid w:val="0"/>
              <w:spacing w:val="4"/>
              <w:kern w:val="0"/>
              <w:sz w:val="28"/>
              <w:szCs w:val="40"/>
              <w:lang w:val="en-US" w:eastAsia="en-US" w:bidi="ar-SA"/>
            </w:rPr>
            <w:t>3.2 自然条件</w:t>
          </w:r>
          <w:r>
            <w:rPr>
              <w:sz w:val="28"/>
              <w:szCs w:val="32"/>
            </w:rPr>
            <w:tab/>
          </w:r>
          <w:r>
            <w:rPr>
              <w:sz w:val="28"/>
              <w:szCs w:val="32"/>
            </w:rPr>
            <w:fldChar w:fldCharType="begin"/>
          </w:r>
          <w:r>
            <w:rPr>
              <w:sz w:val="28"/>
              <w:szCs w:val="32"/>
            </w:rPr>
            <w:instrText xml:space="preserve"> PAGEREF _Toc32348 \h </w:instrText>
          </w:r>
          <w:r>
            <w:rPr>
              <w:sz w:val="28"/>
              <w:szCs w:val="32"/>
            </w:rPr>
            <w:fldChar w:fldCharType="separate"/>
          </w:r>
          <w:r>
            <w:rPr>
              <w:sz w:val="28"/>
              <w:szCs w:val="32"/>
            </w:rPr>
            <w:t>- 9 -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_Toc26405 </w:instrText>
          </w:r>
          <w:r>
            <w:rPr>
              <w:sz w:val="28"/>
              <w:szCs w:val="56"/>
            </w:rPr>
            <w:fldChar w:fldCharType="separate"/>
          </w:r>
          <w:r>
            <w:rPr>
              <w:rFonts w:ascii="宋体" w:hAnsi="宋体" w:eastAsia="宋体" w:cs="宋体"/>
              <w:bCs/>
              <w:snapToGrid w:val="0"/>
              <w:spacing w:val="4"/>
              <w:kern w:val="0"/>
              <w:sz w:val="28"/>
              <w:szCs w:val="40"/>
              <w:lang w:val="en-US" w:eastAsia="en-US" w:bidi="ar-SA"/>
            </w:rPr>
            <w:t>3.3 施工条件</w:t>
          </w:r>
          <w:r>
            <w:rPr>
              <w:sz w:val="28"/>
              <w:szCs w:val="32"/>
            </w:rPr>
            <w:tab/>
          </w:r>
          <w:r>
            <w:rPr>
              <w:sz w:val="28"/>
              <w:szCs w:val="32"/>
            </w:rPr>
            <w:fldChar w:fldCharType="begin"/>
          </w:r>
          <w:r>
            <w:rPr>
              <w:sz w:val="28"/>
              <w:szCs w:val="32"/>
            </w:rPr>
            <w:instrText xml:space="preserve"> PAGEREF _Toc26405 \h </w:instrText>
          </w:r>
          <w:r>
            <w:rPr>
              <w:sz w:val="28"/>
              <w:szCs w:val="32"/>
            </w:rPr>
            <w:fldChar w:fldCharType="separate"/>
          </w:r>
          <w:r>
            <w:rPr>
              <w:sz w:val="28"/>
              <w:szCs w:val="32"/>
            </w:rPr>
            <w:t>- 9 -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_Toc28269 </w:instrText>
          </w:r>
          <w:r>
            <w:rPr>
              <w:sz w:val="28"/>
              <w:szCs w:val="56"/>
            </w:rPr>
            <w:fldChar w:fldCharType="separate"/>
          </w:r>
          <w:r>
            <w:rPr>
              <w:rFonts w:ascii="宋体" w:hAnsi="宋体" w:eastAsia="宋体" w:cs="宋体"/>
              <w:bCs/>
              <w:snapToGrid w:val="0"/>
              <w:spacing w:val="4"/>
              <w:kern w:val="0"/>
              <w:sz w:val="28"/>
              <w:szCs w:val="40"/>
              <w:lang w:val="en-US" w:eastAsia="en-US" w:bidi="ar-SA"/>
            </w:rPr>
            <w:t>3.4 政策支持条件</w:t>
          </w:r>
          <w:r>
            <w:rPr>
              <w:sz w:val="28"/>
              <w:szCs w:val="32"/>
            </w:rPr>
            <w:tab/>
          </w:r>
          <w:r>
            <w:rPr>
              <w:sz w:val="28"/>
              <w:szCs w:val="32"/>
            </w:rPr>
            <w:fldChar w:fldCharType="begin"/>
          </w:r>
          <w:r>
            <w:rPr>
              <w:sz w:val="28"/>
              <w:szCs w:val="32"/>
            </w:rPr>
            <w:instrText xml:space="preserve"> PAGEREF _Toc28269 \h </w:instrText>
          </w:r>
          <w:r>
            <w:rPr>
              <w:sz w:val="28"/>
              <w:szCs w:val="32"/>
            </w:rPr>
            <w:fldChar w:fldCharType="separate"/>
          </w:r>
          <w:r>
            <w:rPr>
              <w:sz w:val="28"/>
              <w:szCs w:val="32"/>
            </w:rPr>
            <w:t>- 9 -</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_Toc20449 </w:instrText>
          </w:r>
          <w:r>
            <w:rPr>
              <w:sz w:val="28"/>
              <w:szCs w:val="56"/>
            </w:rPr>
            <w:fldChar w:fldCharType="separate"/>
          </w:r>
          <w:r>
            <w:rPr>
              <w:rFonts w:ascii="宋体" w:hAnsi="宋体" w:eastAsia="宋体" w:cs="宋体"/>
              <w:bCs/>
              <w:snapToGrid w:val="0"/>
              <w:spacing w:val="9"/>
              <w:kern w:val="0"/>
              <w:sz w:val="28"/>
              <w:szCs w:val="48"/>
              <w:lang w:val="en-US" w:eastAsia="en-US" w:bidi="ar-SA"/>
            </w:rPr>
            <w:t>第四章 工艺设备与工程方案</w:t>
          </w:r>
          <w:r>
            <w:rPr>
              <w:sz w:val="28"/>
              <w:szCs w:val="32"/>
            </w:rPr>
            <w:tab/>
          </w:r>
          <w:r>
            <w:rPr>
              <w:sz w:val="28"/>
              <w:szCs w:val="32"/>
            </w:rPr>
            <w:fldChar w:fldCharType="begin"/>
          </w:r>
          <w:r>
            <w:rPr>
              <w:sz w:val="28"/>
              <w:szCs w:val="32"/>
            </w:rPr>
            <w:instrText xml:space="preserve"> PAGEREF _Toc20449 \h </w:instrText>
          </w:r>
          <w:r>
            <w:rPr>
              <w:sz w:val="28"/>
              <w:szCs w:val="32"/>
            </w:rPr>
            <w:fldChar w:fldCharType="separate"/>
          </w:r>
          <w:r>
            <w:rPr>
              <w:sz w:val="28"/>
              <w:szCs w:val="32"/>
            </w:rPr>
            <w:t>- 1</w:t>
          </w:r>
          <w:r>
            <w:rPr>
              <w:rFonts w:hint="eastAsia"/>
              <w:sz w:val="28"/>
              <w:szCs w:val="32"/>
              <w:lang w:val="en-US" w:eastAsia="zh-CN"/>
            </w:rPr>
            <w:t>4</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_Toc20751 </w:instrText>
          </w:r>
          <w:r>
            <w:rPr>
              <w:sz w:val="28"/>
              <w:szCs w:val="56"/>
            </w:rPr>
            <w:fldChar w:fldCharType="separate"/>
          </w:r>
          <w:r>
            <w:rPr>
              <w:rFonts w:ascii="宋体" w:hAnsi="宋体" w:eastAsia="宋体" w:cs="宋体"/>
              <w:bCs/>
              <w:snapToGrid w:val="0"/>
              <w:spacing w:val="4"/>
              <w:kern w:val="0"/>
              <w:sz w:val="28"/>
              <w:szCs w:val="40"/>
              <w:lang w:val="en-US" w:eastAsia="en-US" w:bidi="ar-SA"/>
            </w:rPr>
            <w:t>4.1 工艺方案</w:t>
          </w:r>
          <w:r>
            <w:rPr>
              <w:sz w:val="28"/>
              <w:szCs w:val="32"/>
            </w:rPr>
            <w:tab/>
          </w:r>
          <w:r>
            <w:rPr>
              <w:sz w:val="28"/>
              <w:szCs w:val="32"/>
            </w:rPr>
            <w:fldChar w:fldCharType="begin"/>
          </w:r>
          <w:r>
            <w:rPr>
              <w:sz w:val="28"/>
              <w:szCs w:val="32"/>
            </w:rPr>
            <w:instrText xml:space="preserve"> PAGEREF _Toc20751 \h </w:instrText>
          </w:r>
          <w:r>
            <w:rPr>
              <w:sz w:val="28"/>
              <w:szCs w:val="32"/>
            </w:rPr>
            <w:fldChar w:fldCharType="separate"/>
          </w:r>
          <w:r>
            <w:rPr>
              <w:sz w:val="28"/>
              <w:szCs w:val="32"/>
            </w:rPr>
            <w:t>- 1</w:t>
          </w:r>
          <w:r>
            <w:rPr>
              <w:rFonts w:hint="eastAsia"/>
              <w:sz w:val="28"/>
              <w:szCs w:val="32"/>
              <w:lang w:val="en-US" w:eastAsia="zh-CN"/>
            </w:rPr>
            <w:t>4</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_Toc31379 </w:instrText>
          </w:r>
          <w:r>
            <w:rPr>
              <w:sz w:val="28"/>
              <w:szCs w:val="56"/>
            </w:rPr>
            <w:fldChar w:fldCharType="separate"/>
          </w:r>
          <w:r>
            <w:rPr>
              <w:rFonts w:ascii="宋体" w:hAnsi="宋体" w:eastAsia="宋体" w:cs="宋体"/>
              <w:bCs/>
              <w:snapToGrid w:val="0"/>
              <w:spacing w:val="4"/>
              <w:kern w:val="0"/>
              <w:sz w:val="28"/>
              <w:szCs w:val="40"/>
              <w:lang w:val="en-US" w:eastAsia="en-US" w:bidi="ar-SA"/>
            </w:rPr>
            <w:t>4.2 工程方案</w:t>
          </w:r>
          <w:r>
            <w:rPr>
              <w:sz w:val="28"/>
              <w:szCs w:val="32"/>
            </w:rPr>
            <w:tab/>
          </w:r>
          <w:r>
            <w:rPr>
              <w:sz w:val="28"/>
              <w:szCs w:val="32"/>
            </w:rPr>
            <w:fldChar w:fldCharType="begin"/>
          </w:r>
          <w:r>
            <w:rPr>
              <w:sz w:val="28"/>
              <w:szCs w:val="32"/>
            </w:rPr>
            <w:instrText xml:space="preserve"> PAGEREF _Toc31379 \h </w:instrText>
          </w:r>
          <w:r>
            <w:rPr>
              <w:sz w:val="28"/>
              <w:szCs w:val="32"/>
            </w:rPr>
            <w:fldChar w:fldCharType="separate"/>
          </w:r>
          <w:r>
            <w:rPr>
              <w:sz w:val="28"/>
              <w:szCs w:val="32"/>
            </w:rPr>
            <w:t>- 1</w:t>
          </w:r>
          <w:r>
            <w:rPr>
              <w:rFonts w:hint="eastAsia"/>
              <w:sz w:val="28"/>
              <w:szCs w:val="32"/>
              <w:lang w:val="en-US" w:eastAsia="zh-CN"/>
            </w:rPr>
            <w:t xml:space="preserve">7 </w:t>
          </w:r>
          <w:r>
            <w:rPr>
              <w:sz w:val="28"/>
              <w:szCs w:val="32"/>
            </w:rPr>
            <w:t>-</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_Toc24015 </w:instrText>
          </w:r>
          <w:r>
            <w:rPr>
              <w:sz w:val="28"/>
              <w:szCs w:val="56"/>
            </w:rPr>
            <w:fldChar w:fldCharType="separate"/>
          </w:r>
          <w:r>
            <w:rPr>
              <w:rFonts w:ascii="宋体" w:hAnsi="宋体" w:eastAsia="宋体" w:cs="宋体"/>
              <w:bCs/>
              <w:snapToGrid w:val="0"/>
              <w:spacing w:val="9"/>
              <w:kern w:val="0"/>
              <w:sz w:val="28"/>
              <w:szCs w:val="48"/>
              <w:lang w:val="en-US" w:eastAsia="en-US" w:bidi="ar-SA"/>
            </w:rPr>
            <w:t>第五章 环境保护</w:t>
          </w:r>
          <w:r>
            <w:rPr>
              <w:sz w:val="28"/>
              <w:szCs w:val="32"/>
            </w:rPr>
            <w:tab/>
          </w:r>
          <w:r>
            <w:rPr>
              <w:sz w:val="28"/>
              <w:szCs w:val="32"/>
            </w:rPr>
            <w:fldChar w:fldCharType="begin"/>
          </w:r>
          <w:r>
            <w:rPr>
              <w:sz w:val="28"/>
              <w:szCs w:val="32"/>
            </w:rPr>
            <w:instrText xml:space="preserve"> PAGEREF _Toc24015 \h </w:instrText>
          </w:r>
          <w:r>
            <w:rPr>
              <w:sz w:val="28"/>
              <w:szCs w:val="32"/>
            </w:rPr>
            <w:fldChar w:fldCharType="separate"/>
          </w:r>
          <w:r>
            <w:rPr>
              <w:sz w:val="28"/>
              <w:szCs w:val="32"/>
            </w:rPr>
            <w:t>- 1</w:t>
          </w:r>
          <w:r>
            <w:rPr>
              <w:rFonts w:hint="eastAsia"/>
              <w:sz w:val="28"/>
              <w:szCs w:val="32"/>
              <w:lang w:val="en-US" w:eastAsia="zh-CN"/>
            </w:rPr>
            <w:t>8</w:t>
          </w:r>
          <w:r>
            <w:rPr>
              <w:sz w:val="28"/>
              <w:szCs w:val="32"/>
            </w:rPr>
            <w:t>-</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_Toc8176 </w:instrText>
          </w:r>
          <w:r>
            <w:rPr>
              <w:sz w:val="28"/>
              <w:szCs w:val="56"/>
            </w:rPr>
            <w:fldChar w:fldCharType="separate"/>
          </w:r>
          <w:r>
            <w:rPr>
              <w:rFonts w:ascii="宋体" w:hAnsi="宋体" w:eastAsia="宋体" w:cs="宋体"/>
              <w:bCs/>
              <w:snapToGrid w:val="0"/>
              <w:spacing w:val="4"/>
              <w:kern w:val="0"/>
              <w:sz w:val="28"/>
              <w:szCs w:val="40"/>
              <w:lang w:val="en-US" w:eastAsia="en-US" w:bidi="ar-SA"/>
            </w:rPr>
            <w:t>5.1 设计所执行的环保法规和标准</w:t>
          </w:r>
          <w:r>
            <w:rPr>
              <w:sz w:val="28"/>
              <w:szCs w:val="32"/>
            </w:rPr>
            <w:tab/>
          </w:r>
          <w:r>
            <w:rPr>
              <w:sz w:val="28"/>
              <w:szCs w:val="32"/>
            </w:rPr>
            <w:fldChar w:fldCharType="begin"/>
          </w:r>
          <w:r>
            <w:rPr>
              <w:sz w:val="28"/>
              <w:szCs w:val="32"/>
            </w:rPr>
            <w:instrText xml:space="preserve"> PAGEREF _Toc8176 \h </w:instrText>
          </w:r>
          <w:r>
            <w:rPr>
              <w:sz w:val="28"/>
              <w:szCs w:val="32"/>
            </w:rPr>
            <w:fldChar w:fldCharType="separate"/>
          </w:r>
          <w:r>
            <w:rPr>
              <w:sz w:val="28"/>
              <w:szCs w:val="32"/>
            </w:rPr>
            <w:t>- 1</w:t>
          </w:r>
          <w:r>
            <w:rPr>
              <w:rFonts w:hint="eastAsia"/>
              <w:sz w:val="28"/>
              <w:szCs w:val="32"/>
              <w:lang w:val="en-US" w:eastAsia="zh-CN"/>
            </w:rPr>
            <w:t>8</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_Toc13438 </w:instrText>
          </w:r>
          <w:r>
            <w:rPr>
              <w:sz w:val="28"/>
              <w:szCs w:val="56"/>
            </w:rPr>
            <w:fldChar w:fldCharType="separate"/>
          </w:r>
          <w:r>
            <w:rPr>
              <w:rFonts w:ascii="宋体" w:hAnsi="宋体" w:eastAsia="宋体" w:cs="宋体"/>
              <w:bCs/>
              <w:snapToGrid w:val="0"/>
              <w:spacing w:val="4"/>
              <w:kern w:val="0"/>
              <w:sz w:val="28"/>
              <w:szCs w:val="40"/>
              <w:lang w:val="en-US" w:eastAsia="en-US" w:bidi="ar-SA"/>
            </w:rPr>
            <w:t>5.2 主要污染源及污染物</w:t>
          </w:r>
          <w:r>
            <w:rPr>
              <w:sz w:val="28"/>
              <w:szCs w:val="32"/>
            </w:rPr>
            <w:tab/>
          </w:r>
          <w:r>
            <w:rPr>
              <w:sz w:val="28"/>
              <w:szCs w:val="32"/>
            </w:rPr>
            <w:fldChar w:fldCharType="begin"/>
          </w:r>
          <w:r>
            <w:rPr>
              <w:sz w:val="28"/>
              <w:szCs w:val="32"/>
            </w:rPr>
            <w:instrText xml:space="preserve"> PAGEREF _Toc13438 \h </w:instrText>
          </w:r>
          <w:r>
            <w:rPr>
              <w:sz w:val="28"/>
              <w:szCs w:val="32"/>
            </w:rPr>
            <w:fldChar w:fldCharType="separate"/>
          </w:r>
          <w:r>
            <w:rPr>
              <w:sz w:val="28"/>
              <w:szCs w:val="32"/>
            </w:rPr>
            <w:t>- 1</w:t>
          </w:r>
          <w:r>
            <w:rPr>
              <w:rFonts w:hint="eastAsia"/>
              <w:sz w:val="28"/>
              <w:szCs w:val="32"/>
              <w:lang w:val="en-US" w:eastAsia="zh-CN"/>
            </w:rPr>
            <w:t>9</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_Toc19121 </w:instrText>
          </w:r>
          <w:r>
            <w:rPr>
              <w:sz w:val="28"/>
              <w:szCs w:val="56"/>
            </w:rPr>
            <w:fldChar w:fldCharType="separate"/>
          </w:r>
          <w:r>
            <w:rPr>
              <w:rFonts w:ascii="宋体" w:hAnsi="宋体" w:eastAsia="宋体" w:cs="宋体"/>
              <w:bCs/>
              <w:snapToGrid w:val="0"/>
              <w:spacing w:val="4"/>
              <w:kern w:val="0"/>
              <w:sz w:val="28"/>
              <w:szCs w:val="40"/>
              <w:lang w:val="en-US" w:eastAsia="en-US" w:bidi="ar-SA"/>
            </w:rPr>
            <w:t>5.3 环境保护措施</w:t>
          </w:r>
          <w:r>
            <w:rPr>
              <w:sz w:val="28"/>
              <w:szCs w:val="32"/>
            </w:rPr>
            <w:tab/>
          </w:r>
          <w:r>
            <w:rPr>
              <w:sz w:val="28"/>
              <w:szCs w:val="32"/>
            </w:rPr>
            <w:fldChar w:fldCharType="begin"/>
          </w:r>
          <w:r>
            <w:rPr>
              <w:sz w:val="28"/>
              <w:szCs w:val="32"/>
            </w:rPr>
            <w:instrText xml:space="preserve"> PAGEREF _Toc19121 \h </w:instrText>
          </w:r>
          <w:r>
            <w:rPr>
              <w:sz w:val="28"/>
              <w:szCs w:val="32"/>
            </w:rPr>
            <w:fldChar w:fldCharType="separate"/>
          </w:r>
          <w:r>
            <w:rPr>
              <w:sz w:val="28"/>
              <w:szCs w:val="32"/>
            </w:rPr>
            <w:t>- 1</w:t>
          </w:r>
          <w:r>
            <w:rPr>
              <w:rFonts w:hint="eastAsia"/>
              <w:sz w:val="28"/>
              <w:szCs w:val="32"/>
              <w:lang w:val="en-US" w:eastAsia="zh-CN"/>
            </w:rPr>
            <w:t xml:space="preserve">9 </w:t>
          </w:r>
          <w:r>
            <w:rPr>
              <w:sz w:val="28"/>
              <w:szCs w:val="32"/>
            </w:rPr>
            <w:t>-</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_Toc7796 </w:instrText>
          </w:r>
          <w:r>
            <w:rPr>
              <w:sz w:val="28"/>
              <w:szCs w:val="56"/>
            </w:rPr>
            <w:fldChar w:fldCharType="separate"/>
          </w:r>
          <w:r>
            <w:rPr>
              <w:rFonts w:ascii="宋体" w:hAnsi="宋体" w:eastAsia="宋体" w:cs="宋体"/>
              <w:bCs/>
              <w:snapToGrid w:val="0"/>
              <w:spacing w:val="4"/>
              <w:kern w:val="0"/>
              <w:sz w:val="28"/>
              <w:szCs w:val="40"/>
              <w:lang w:val="en-US" w:eastAsia="en-US" w:bidi="ar-SA"/>
            </w:rPr>
            <w:t>5.4 环境监测与管理</w:t>
          </w:r>
          <w:r>
            <w:rPr>
              <w:sz w:val="28"/>
              <w:szCs w:val="32"/>
            </w:rPr>
            <w:tab/>
          </w:r>
          <w:r>
            <w:rPr>
              <w:sz w:val="28"/>
              <w:szCs w:val="32"/>
            </w:rPr>
            <w:fldChar w:fldCharType="begin"/>
          </w:r>
          <w:r>
            <w:rPr>
              <w:sz w:val="28"/>
              <w:szCs w:val="32"/>
            </w:rPr>
            <w:instrText xml:space="preserve"> PAGEREF _Toc7796 \h </w:instrText>
          </w:r>
          <w:r>
            <w:rPr>
              <w:sz w:val="28"/>
              <w:szCs w:val="32"/>
            </w:rPr>
            <w:fldChar w:fldCharType="separate"/>
          </w:r>
          <w:r>
            <w:rPr>
              <w:sz w:val="28"/>
              <w:szCs w:val="32"/>
            </w:rPr>
            <w:t xml:space="preserve">- </w:t>
          </w:r>
          <w:r>
            <w:rPr>
              <w:rFonts w:hint="eastAsia"/>
              <w:sz w:val="28"/>
              <w:szCs w:val="32"/>
              <w:lang w:val="en-US" w:eastAsia="zh-CN"/>
            </w:rPr>
            <w:t>20</w:t>
          </w:r>
          <w:r>
            <w:rPr>
              <w:sz w:val="28"/>
              <w:szCs w:val="32"/>
            </w:rPr>
            <w:t xml:space="preserve"> -</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_Toc27206 </w:instrText>
          </w:r>
          <w:r>
            <w:rPr>
              <w:sz w:val="28"/>
              <w:szCs w:val="56"/>
            </w:rPr>
            <w:fldChar w:fldCharType="separate"/>
          </w:r>
          <w:r>
            <w:rPr>
              <w:rFonts w:ascii="宋体" w:hAnsi="宋体" w:eastAsia="宋体" w:cs="宋体"/>
              <w:bCs/>
              <w:snapToGrid w:val="0"/>
              <w:spacing w:val="9"/>
              <w:kern w:val="0"/>
              <w:sz w:val="28"/>
              <w:szCs w:val="48"/>
              <w:lang w:val="en-US" w:eastAsia="en-US" w:bidi="ar-SA"/>
            </w:rPr>
            <w:t>第六章 消防、劳动安全及卫生</w:t>
          </w:r>
          <w:r>
            <w:rPr>
              <w:sz w:val="28"/>
              <w:szCs w:val="32"/>
            </w:rPr>
            <w:tab/>
          </w:r>
          <w:r>
            <w:rPr>
              <w:sz w:val="28"/>
              <w:szCs w:val="32"/>
            </w:rPr>
            <w:fldChar w:fldCharType="begin"/>
          </w:r>
          <w:r>
            <w:rPr>
              <w:sz w:val="28"/>
              <w:szCs w:val="32"/>
            </w:rPr>
            <w:instrText xml:space="preserve"> PAGEREF _Toc27206 \h </w:instrText>
          </w:r>
          <w:r>
            <w:rPr>
              <w:sz w:val="28"/>
              <w:szCs w:val="32"/>
            </w:rPr>
            <w:fldChar w:fldCharType="separate"/>
          </w:r>
          <w:r>
            <w:rPr>
              <w:sz w:val="28"/>
              <w:szCs w:val="32"/>
            </w:rPr>
            <w:t>- 2</w:t>
          </w:r>
          <w:r>
            <w:rPr>
              <w:rFonts w:hint="eastAsia"/>
              <w:sz w:val="28"/>
              <w:szCs w:val="32"/>
              <w:lang w:val="en-US" w:eastAsia="zh-CN"/>
            </w:rPr>
            <w:t>1</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_Toc21234 </w:instrText>
          </w:r>
          <w:r>
            <w:rPr>
              <w:sz w:val="28"/>
              <w:szCs w:val="56"/>
            </w:rPr>
            <w:fldChar w:fldCharType="separate"/>
          </w:r>
          <w:r>
            <w:rPr>
              <w:rFonts w:ascii="宋体" w:hAnsi="宋体" w:eastAsia="宋体" w:cs="宋体"/>
              <w:bCs/>
              <w:snapToGrid w:val="0"/>
              <w:spacing w:val="4"/>
              <w:kern w:val="0"/>
              <w:sz w:val="28"/>
              <w:szCs w:val="40"/>
              <w:lang w:val="en-US" w:eastAsia="en-US" w:bidi="ar-SA"/>
            </w:rPr>
            <w:t>6.1 劳动安全</w:t>
          </w:r>
          <w:r>
            <w:rPr>
              <w:sz w:val="28"/>
              <w:szCs w:val="32"/>
            </w:rPr>
            <w:tab/>
          </w:r>
          <w:r>
            <w:rPr>
              <w:sz w:val="28"/>
              <w:szCs w:val="32"/>
            </w:rPr>
            <w:fldChar w:fldCharType="begin"/>
          </w:r>
          <w:r>
            <w:rPr>
              <w:sz w:val="28"/>
              <w:szCs w:val="32"/>
            </w:rPr>
            <w:instrText xml:space="preserve"> PAGEREF _Toc21234 \h </w:instrText>
          </w:r>
          <w:r>
            <w:rPr>
              <w:sz w:val="28"/>
              <w:szCs w:val="32"/>
            </w:rPr>
            <w:fldChar w:fldCharType="separate"/>
          </w:r>
          <w:r>
            <w:rPr>
              <w:sz w:val="28"/>
              <w:szCs w:val="32"/>
            </w:rPr>
            <w:t>- 2</w:t>
          </w:r>
          <w:r>
            <w:rPr>
              <w:rFonts w:hint="eastAsia"/>
              <w:sz w:val="28"/>
              <w:szCs w:val="32"/>
              <w:lang w:val="en-US" w:eastAsia="zh-CN"/>
            </w:rPr>
            <w:t>1</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_Toc4149 </w:instrText>
          </w:r>
          <w:r>
            <w:rPr>
              <w:sz w:val="28"/>
              <w:szCs w:val="56"/>
            </w:rPr>
            <w:fldChar w:fldCharType="separate"/>
          </w:r>
          <w:r>
            <w:rPr>
              <w:rFonts w:ascii="宋体" w:hAnsi="宋体" w:eastAsia="宋体" w:cs="宋体"/>
              <w:bCs/>
              <w:snapToGrid w:val="0"/>
              <w:spacing w:val="4"/>
              <w:kern w:val="0"/>
              <w:sz w:val="28"/>
              <w:szCs w:val="40"/>
              <w:lang w:val="en-US" w:eastAsia="en-US" w:bidi="ar-SA"/>
            </w:rPr>
            <w:t>6.2 安全卫生执行的标准</w:t>
          </w:r>
          <w:r>
            <w:rPr>
              <w:sz w:val="28"/>
              <w:szCs w:val="32"/>
            </w:rPr>
            <w:tab/>
          </w:r>
          <w:r>
            <w:rPr>
              <w:sz w:val="28"/>
              <w:szCs w:val="32"/>
            </w:rPr>
            <w:fldChar w:fldCharType="begin"/>
          </w:r>
          <w:r>
            <w:rPr>
              <w:sz w:val="28"/>
              <w:szCs w:val="32"/>
            </w:rPr>
            <w:instrText xml:space="preserve"> PAGEREF _Toc4149 \h </w:instrText>
          </w:r>
          <w:r>
            <w:rPr>
              <w:sz w:val="28"/>
              <w:szCs w:val="32"/>
            </w:rPr>
            <w:fldChar w:fldCharType="separate"/>
          </w:r>
          <w:r>
            <w:rPr>
              <w:sz w:val="28"/>
              <w:szCs w:val="32"/>
            </w:rPr>
            <w:t>- 2</w:t>
          </w:r>
          <w:r>
            <w:rPr>
              <w:rFonts w:hint="eastAsia"/>
              <w:sz w:val="28"/>
              <w:szCs w:val="32"/>
              <w:lang w:val="en-US" w:eastAsia="zh-CN"/>
            </w:rPr>
            <w:t>2</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_Toc8072 </w:instrText>
          </w:r>
          <w:r>
            <w:rPr>
              <w:sz w:val="28"/>
              <w:szCs w:val="56"/>
            </w:rPr>
            <w:fldChar w:fldCharType="separate"/>
          </w:r>
          <w:r>
            <w:rPr>
              <w:rFonts w:ascii="宋体" w:hAnsi="宋体" w:eastAsia="宋体" w:cs="宋体"/>
              <w:bCs/>
              <w:snapToGrid w:val="0"/>
              <w:spacing w:val="4"/>
              <w:kern w:val="0"/>
              <w:sz w:val="28"/>
              <w:szCs w:val="40"/>
              <w:lang w:val="en-US" w:eastAsia="en-US" w:bidi="ar-SA"/>
            </w:rPr>
            <w:t>6.3 生产过程中职业危险、危害因素的分析</w:t>
          </w:r>
          <w:r>
            <w:rPr>
              <w:sz w:val="28"/>
              <w:szCs w:val="32"/>
            </w:rPr>
            <w:tab/>
          </w:r>
          <w:r>
            <w:rPr>
              <w:sz w:val="28"/>
              <w:szCs w:val="32"/>
            </w:rPr>
            <w:fldChar w:fldCharType="begin"/>
          </w:r>
          <w:r>
            <w:rPr>
              <w:sz w:val="28"/>
              <w:szCs w:val="32"/>
            </w:rPr>
            <w:instrText xml:space="preserve"> PAGEREF _Toc8072 \h </w:instrText>
          </w:r>
          <w:r>
            <w:rPr>
              <w:sz w:val="28"/>
              <w:szCs w:val="32"/>
            </w:rPr>
            <w:fldChar w:fldCharType="separate"/>
          </w:r>
          <w:r>
            <w:rPr>
              <w:sz w:val="28"/>
              <w:szCs w:val="32"/>
            </w:rPr>
            <w:t>- 2</w:t>
          </w:r>
          <w:r>
            <w:rPr>
              <w:rFonts w:hint="eastAsia"/>
              <w:sz w:val="28"/>
              <w:szCs w:val="32"/>
              <w:lang w:val="en-US" w:eastAsia="zh-CN"/>
            </w:rPr>
            <w:t>3</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_Toc21865 </w:instrText>
          </w:r>
          <w:r>
            <w:rPr>
              <w:sz w:val="28"/>
              <w:szCs w:val="56"/>
            </w:rPr>
            <w:fldChar w:fldCharType="separate"/>
          </w:r>
          <w:r>
            <w:rPr>
              <w:rFonts w:ascii="宋体" w:hAnsi="宋体" w:eastAsia="宋体" w:cs="宋体"/>
              <w:bCs/>
              <w:snapToGrid w:val="0"/>
              <w:spacing w:val="4"/>
              <w:kern w:val="0"/>
              <w:sz w:val="28"/>
              <w:szCs w:val="40"/>
              <w:lang w:val="en-US" w:eastAsia="en-US" w:bidi="ar-SA"/>
            </w:rPr>
            <w:t>6.4 各因素防范措施及应急处理</w:t>
          </w:r>
          <w:r>
            <w:rPr>
              <w:sz w:val="28"/>
              <w:szCs w:val="32"/>
            </w:rPr>
            <w:tab/>
          </w:r>
          <w:r>
            <w:rPr>
              <w:sz w:val="28"/>
              <w:szCs w:val="32"/>
            </w:rPr>
            <w:fldChar w:fldCharType="begin"/>
          </w:r>
          <w:r>
            <w:rPr>
              <w:sz w:val="28"/>
              <w:szCs w:val="32"/>
            </w:rPr>
            <w:instrText xml:space="preserve"> PAGEREF _Toc21865 \h </w:instrText>
          </w:r>
          <w:r>
            <w:rPr>
              <w:sz w:val="28"/>
              <w:szCs w:val="32"/>
            </w:rPr>
            <w:fldChar w:fldCharType="separate"/>
          </w:r>
          <w:r>
            <w:rPr>
              <w:sz w:val="28"/>
              <w:szCs w:val="32"/>
            </w:rPr>
            <w:t>- 2</w:t>
          </w:r>
          <w:r>
            <w:rPr>
              <w:rFonts w:hint="eastAsia"/>
              <w:sz w:val="28"/>
              <w:szCs w:val="32"/>
              <w:lang w:val="en-US" w:eastAsia="zh-CN"/>
            </w:rPr>
            <w:t>4</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_Toc7335 </w:instrText>
          </w:r>
          <w:r>
            <w:rPr>
              <w:sz w:val="28"/>
              <w:szCs w:val="56"/>
            </w:rPr>
            <w:fldChar w:fldCharType="separate"/>
          </w:r>
          <w:r>
            <w:rPr>
              <w:rFonts w:ascii="宋体" w:hAnsi="宋体" w:eastAsia="宋体" w:cs="宋体"/>
              <w:bCs/>
              <w:snapToGrid w:val="0"/>
              <w:spacing w:val="4"/>
              <w:kern w:val="0"/>
              <w:sz w:val="28"/>
              <w:szCs w:val="40"/>
              <w:lang w:val="en-US" w:eastAsia="en-US" w:bidi="ar-SA"/>
            </w:rPr>
            <w:t>6.5 劳动保护和安全卫生措施</w:t>
          </w:r>
          <w:r>
            <w:rPr>
              <w:sz w:val="28"/>
              <w:szCs w:val="32"/>
            </w:rPr>
            <w:tab/>
          </w:r>
          <w:r>
            <w:rPr>
              <w:sz w:val="28"/>
              <w:szCs w:val="32"/>
            </w:rPr>
            <w:fldChar w:fldCharType="begin"/>
          </w:r>
          <w:r>
            <w:rPr>
              <w:sz w:val="28"/>
              <w:szCs w:val="32"/>
            </w:rPr>
            <w:instrText xml:space="preserve"> PAGEREF _Toc7335 \h </w:instrText>
          </w:r>
          <w:r>
            <w:rPr>
              <w:sz w:val="28"/>
              <w:szCs w:val="32"/>
            </w:rPr>
            <w:fldChar w:fldCharType="separate"/>
          </w:r>
          <w:r>
            <w:rPr>
              <w:sz w:val="28"/>
              <w:szCs w:val="32"/>
            </w:rPr>
            <w:t>- 2</w:t>
          </w:r>
          <w:r>
            <w:rPr>
              <w:rFonts w:hint="eastAsia"/>
              <w:sz w:val="28"/>
              <w:szCs w:val="32"/>
              <w:lang w:val="en-US" w:eastAsia="zh-CN"/>
            </w:rPr>
            <w:t>5</w:t>
          </w:r>
          <w:r>
            <w:rPr>
              <w:sz w:val="28"/>
              <w:szCs w:val="32"/>
            </w:rPr>
            <w:t xml:space="preserve"> -</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_Toc3835 </w:instrText>
          </w:r>
          <w:r>
            <w:rPr>
              <w:sz w:val="28"/>
              <w:szCs w:val="56"/>
            </w:rPr>
            <w:fldChar w:fldCharType="separate"/>
          </w:r>
          <w:r>
            <w:rPr>
              <w:rFonts w:ascii="宋体" w:hAnsi="宋体" w:eastAsia="宋体" w:cs="宋体"/>
              <w:bCs/>
              <w:snapToGrid w:val="0"/>
              <w:spacing w:val="9"/>
              <w:kern w:val="0"/>
              <w:sz w:val="28"/>
              <w:szCs w:val="48"/>
              <w:lang w:val="en-US" w:eastAsia="en-US" w:bidi="ar-SA"/>
            </w:rPr>
            <w:t>第七章 节能</w:t>
          </w:r>
          <w:r>
            <w:rPr>
              <w:sz w:val="28"/>
              <w:szCs w:val="32"/>
            </w:rPr>
            <w:tab/>
          </w:r>
          <w:r>
            <w:rPr>
              <w:sz w:val="28"/>
              <w:szCs w:val="32"/>
            </w:rPr>
            <w:fldChar w:fldCharType="begin"/>
          </w:r>
          <w:r>
            <w:rPr>
              <w:sz w:val="28"/>
              <w:szCs w:val="32"/>
            </w:rPr>
            <w:instrText xml:space="preserve"> PAGEREF _Toc3835 \h </w:instrText>
          </w:r>
          <w:r>
            <w:rPr>
              <w:sz w:val="28"/>
              <w:szCs w:val="32"/>
            </w:rPr>
            <w:fldChar w:fldCharType="separate"/>
          </w:r>
          <w:r>
            <w:rPr>
              <w:sz w:val="28"/>
              <w:szCs w:val="32"/>
            </w:rPr>
            <w:t>- 2</w:t>
          </w:r>
          <w:r>
            <w:rPr>
              <w:rFonts w:hint="eastAsia"/>
              <w:sz w:val="28"/>
              <w:szCs w:val="32"/>
              <w:lang w:val="en-US" w:eastAsia="zh-CN"/>
            </w:rPr>
            <w:t>6</w:t>
          </w:r>
          <w:r>
            <w:rPr>
              <w:sz w:val="28"/>
              <w:szCs w:val="32"/>
            </w:rPr>
            <w:t>-</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_Toc6088 </w:instrText>
          </w:r>
          <w:r>
            <w:rPr>
              <w:sz w:val="28"/>
              <w:szCs w:val="56"/>
            </w:rPr>
            <w:fldChar w:fldCharType="separate"/>
          </w:r>
          <w:r>
            <w:rPr>
              <w:rFonts w:ascii="宋体" w:hAnsi="宋体" w:eastAsia="宋体" w:cs="宋体"/>
              <w:bCs/>
              <w:snapToGrid w:val="0"/>
              <w:spacing w:val="4"/>
              <w:kern w:val="0"/>
              <w:sz w:val="28"/>
              <w:szCs w:val="40"/>
              <w:lang w:val="en-US" w:eastAsia="en-US" w:bidi="ar-SA"/>
            </w:rPr>
            <w:t>7.1 节能原则与依据</w:t>
          </w:r>
          <w:r>
            <w:rPr>
              <w:sz w:val="28"/>
              <w:szCs w:val="32"/>
            </w:rPr>
            <w:tab/>
          </w:r>
          <w:r>
            <w:rPr>
              <w:sz w:val="28"/>
              <w:szCs w:val="32"/>
            </w:rPr>
            <w:fldChar w:fldCharType="begin"/>
          </w:r>
          <w:r>
            <w:rPr>
              <w:sz w:val="28"/>
              <w:szCs w:val="32"/>
            </w:rPr>
            <w:instrText xml:space="preserve"> PAGEREF _Toc6088 \h </w:instrText>
          </w:r>
          <w:r>
            <w:rPr>
              <w:sz w:val="28"/>
              <w:szCs w:val="32"/>
            </w:rPr>
            <w:fldChar w:fldCharType="separate"/>
          </w:r>
          <w:r>
            <w:rPr>
              <w:sz w:val="28"/>
              <w:szCs w:val="32"/>
            </w:rPr>
            <w:t>- 2</w:t>
          </w:r>
          <w:r>
            <w:rPr>
              <w:rFonts w:hint="eastAsia"/>
              <w:sz w:val="28"/>
              <w:szCs w:val="32"/>
              <w:lang w:val="en-US" w:eastAsia="zh-CN"/>
            </w:rPr>
            <w:t>7</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_Toc30265 </w:instrText>
          </w:r>
          <w:r>
            <w:rPr>
              <w:sz w:val="28"/>
              <w:szCs w:val="56"/>
            </w:rPr>
            <w:fldChar w:fldCharType="separate"/>
          </w:r>
          <w:r>
            <w:rPr>
              <w:rFonts w:ascii="宋体" w:hAnsi="宋体" w:eastAsia="宋体" w:cs="宋体"/>
              <w:bCs/>
              <w:snapToGrid w:val="0"/>
              <w:spacing w:val="4"/>
              <w:kern w:val="0"/>
              <w:sz w:val="28"/>
              <w:szCs w:val="40"/>
              <w:lang w:val="en-US" w:eastAsia="en-US" w:bidi="ar-SA"/>
            </w:rPr>
            <w:t>7.2 节能措施和节能效果分析</w:t>
          </w:r>
          <w:r>
            <w:rPr>
              <w:sz w:val="28"/>
              <w:szCs w:val="32"/>
            </w:rPr>
            <w:tab/>
          </w:r>
          <w:r>
            <w:rPr>
              <w:sz w:val="28"/>
              <w:szCs w:val="32"/>
            </w:rPr>
            <w:fldChar w:fldCharType="begin"/>
          </w:r>
          <w:r>
            <w:rPr>
              <w:sz w:val="28"/>
              <w:szCs w:val="32"/>
            </w:rPr>
            <w:instrText xml:space="preserve"> PAGEREF _Toc30265 \h </w:instrText>
          </w:r>
          <w:r>
            <w:rPr>
              <w:sz w:val="28"/>
              <w:szCs w:val="32"/>
            </w:rPr>
            <w:fldChar w:fldCharType="separate"/>
          </w:r>
          <w:r>
            <w:rPr>
              <w:sz w:val="28"/>
              <w:szCs w:val="32"/>
            </w:rPr>
            <w:t>- 2</w:t>
          </w:r>
          <w:r>
            <w:rPr>
              <w:rFonts w:hint="eastAsia"/>
              <w:sz w:val="28"/>
              <w:szCs w:val="32"/>
              <w:lang w:val="en-US" w:eastAsia="zh-CN"/>
            </w:rPr>
            <w:t>8</w:t>
          </w:r>
          <w:r>
            <w:rPr>
              <w:sz w:val="28"/>
              <w:szCs w:val="32"/>
            </w:rPr>
            <w:t xml:space="preserve"> -</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_Toc26576 </w:instrText>
          </w:r>
          <w:r>
            <w:rPr>
              <w:sz w:val="28"/>
              <w:szCs w:val="56"/>
            </w:rPr>
            <w:fldChar w:fldCharType="separate"/>
          </w:r>
          <w:r>
            <w:rPr>
              <w:rFonts w:ascii="宋体" w:hAnsi="宋体" w:eastAsia="宋体" w:cs="宋体"/>
              <w:bCs/>
              <w:snapToGrid w:val="0"/>
              <w:spacing w:val="9"/>
              <w:kern w:val="0"/>
              <w:sz w:val="28"/>
              <w:szCs w:val="48"/>
              <w:lang w:val="en-US" w:eastAsia="en-US" w:bidi="ar-SA"/>
            </w:rPr>
            <w:t>第八章 建设期限和实施进度安排</w:t>
          </w:r>
          <w:r>
            <w:rPr>
              <w:sz w:val="28"/>
              <w:szCs w:val="32"/>
            </w:rPr>
            <w:tab/>
          </w:r>
          <w:r>
            <w:rPr>
              <w:sz w:val="28"/>
              <w:szCs w:val="32"/>
            </w:rPr>
            <w:fldChar w:fldCharType="begin"/>
          </w:r>
          <w:r>
            <w:rPr>
              <w:sz w:val="28"/>
              <w:szCs w:val="32"/>
            </w:rPr>
            <w:instrText xml:space="preserve"> PAGEREF _Toc26576 \h </w:instrText>
          </w:r>
          <w:r>
            <w:rPr>
              <w:sz w:val="28"/>
              <w:szCs w:val="32"/>
            </w:rPr>
            <w:fldChar w:fldCharType="separate"/>
          </w:r>
          <w:r>
            <w:rPr>
              <w:sz w:val="28"/>
              <w:szCs w:val="32"/>
            </w:rPr>
            <w:t>- 2</w:t>
          </w:r>
          <w:r>
            <w:rPr>
              <w:rFonts w:hint="eastAsia"/>
              <w:sz w:val="28"/>
              <w:szCs w:val="32"/>
              <w:lang w:val="en-US" w:eastAsia="zh-CN"/>
            </w:rPr>
            <w:t>9</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_Toc17913 </w:instrText>
          </w:r>
          <w:r>
            <w:rPr>
              <w:sz w:val="28"/>
              <w:szCs w:val="56"/>
            </w:rPr>
            <w:fldChar w:fldCharType="separate"/>
          </w:r>
          <w:r>
            <w:rPr>
              <w:rFonts w:ascii="宋体" w:hAnsi="宋体" w:eastAsia="宋体" w:cs="宋体"/>
              <w:bCs/>
              <w:snapToGrid w:val="0"/>
              <w:spacing w:val="4"/>
              <w:kern w:val="0"/>
              <w:sz w:val="28"/>
              <w:szCs w:val="40"/>
              <w:lang w:val="en-US" w:eastAsia="en-US" w:bidi="ar-SA"/>
            </w:rPr>
            <w:t>8.1 建设期限</w:t>
          </w:r>
          <w:r>
            <w:rPr>
              <w:sz w:val="28"/>
              <w:szCs w:val="32"/>
            </w:rPr>
            <w:tab/>
          </w:r>
          <w:r>
            <w:rPr>
              <w:sz w:val="28"/>
              <w:szCs w:val="32"/>
            </w:rPr>
            <w:fldChar w:fldCharType="begin"/>
          </w:r>
          <w:r>
            <w:rPr>
              <w:sz w:val="28"/>
              <w:szCs w:val="32"/>
            </w:rPr>
            <w:instrText xml:space="preserve"> PAGEREF _Toc17913 \h </w:instrText>
          </w:r>
          <w:r>
            <w:rPr>
              <w:sz w:val="28"/>
              <w:szCs w:val="32"/>
            </w:rPr>
            <w:fldChar w:fldCharType="separate"/>
          </w:r>
          <w:r>
            <w:rPr>
              <w:sz w:val="28"/>
              <w:szCs w:val="32"/>
            </w:rPr>
            <w:t>- 2</w:t>
          </w:r>
          <w:r>
            <w:rPr>
              <w:rFonts w:hint="eastAsia"/>
              <w:sz w:val="28"/>
              <w:szCs w:val="32"/>
              <w:lang w:val="en-US" w:eastAsia="zh-CN"/>
            </w:rPr>
            <w:t>9</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_Toc17822 </w:instrText>
          </w:r>
          <w:r>
            <w:rPr>
              <w:sz w:val="28"/>
              <w:szCs w:val="56"/>
            </w:rPr>
            <w:fldChar w:fldCharType="separate"/>
          </w:r>
          <w:r>
            <w:rPr>
              <w:rFonts w:ascii="宋体" w:hAnsi="宋体" w:eastAsia="宋体" w:cs="宋体"/>
              <w:bCs/>
              <w:snapToGrid w:val="0"/>
              <w:spacing w:val="4"/>
              <w:kern w:val="0"/>
              <w:sz w:val="28"/>
              <w:szCs w:val="40"/>
              <w:lang w:val="en-US" w:eastAsia="en-US" w:bidi="ar-SA"/>
            </w:rPr>
            <w:t>8.2 实施进度安排</w:t>
          </w:r>
          <w:r>
            <w:rPr>
              <w:sz w:val="28"/>
              <w:szCs w:val="32"/>
            </w:rPr>
            <w:tab/>
          </w:r>
          <w:r>
            <w:rPr>
              <w:sz w:val="28"/>
              <w:szCs w:val="32"/>
            </w:rPr>
            <w:fldChar w:fldCharType="begin"/>
          </w:r>
          <w:r>
            <w:rPr>
              <w:sz w:val="28"/>
              <w:szCs w:val="32"/>
            </w:rPr>
            <w:instrText xml:space="preserve"> PAGEREF _Toc17822 \h </w:instrText>
          </w:r>
          <w:r>
            <w:rPr>
              <w:sz w:val="28"/>
              <w:szCs w:val="32"/>
            </w:rPr>
            <w:fldChar w:fldCharType="separate"/>
          </w:r>
          <w:r>
            <w:rPr>
              <w:sz w:val="28"/>
              <w:szCs w:val="32"/>
            </w:rPr>
            <w:t>- 2</w:t>
          </w:r>
          <w:r>
            <w:rPr>
              <w:rFonts w:hint="eastAsia"/>
              <w:sz w:val="28"/>
              <w:szCs w:val="32"/>
              <w:lang w:val="en-US" w:eastAsia="zh-CN"/>
            </w:rPr>
            <w:t>9</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_Toc8063 </w:instrText>
          </w:r>
          <w:r>
            <w:rPr>
              <w:sz w:val="28"/>
              <w:szCs w:val="56"/>
            </w:rPr>
            <w:fldChar w:fldCharType="separate"/>
          </w:r>
          <w:r>
            <w:rPr>
              <w:rFonts w:ascii="宋体" w:hAnsi="宋体" w:eastAsia="宋体" w:cs="宋体"/>
              <w:bCs/>
              <w:snapToGrid w:val="0"/>
              <w:spacing w:val="4"/>
              <w:kern w:val="0"/>
              <w:sz w:val="28"/>
              <w:szCs w:val="40"/>
              <w:lang w:val="en-US" w:eastAsia="en-US" w:bidi="ar-SA"/>
            </w:rPr>
            <w:t>8.3 项目实施及验收</w:t>
          </w:r>
          <w:r>
            <w:rPr>
              <w:sz w:val="28"/>
              <w:szCs w:val="32"/>
            </w:rPr>
            <w:tab/>
          </w:r>
          <w:r>
            <w:rPr>
              <w:sz w:val="28"/>
              <w:szCs w:val="32"/>
            </w:rPr>
            <w:fldChar w:fldCharType="begin"/>
          </w:r>
          <w:r>
            <w:rPr>
              <w:sz w:val="28"/>
              <w:szCs w:val="32"/>
            </w:rPr>
            <w:instrText xml:space="preserve"> PAGEREF _Toc8063 \h </w:instrText>
          </w:r>
          <w:r>
            <w:rPr>
              <w:sz w:val="28"/>
              <w:szCs w:val="32"/>
            </w:rPr>
            <w:fldChar w:fldCharType="separate"/>
          </w:r>
          <w:r>
            <w:rPr>
              <w:sz w:val="28"/>
              <w:szCs w:val="32"/>
            </w:rPr>
            <w:t xml:space="preserve">- </w:t>
          </w:r>
          <w:r>
            <w:rPr>
              <w:rFonts w:hint="eastAsia"/>
              <w:sz w:val="28"/>
              <w:szCs w:val="32"/>
              <w:lang w:val="en-US" w:eastAsia="zh-CN"/>
            </w:rPr>
            <w:t>30</w:t>
          </w:r>
          <w:r>
            <w:rPr>
              <w:sz w:val="28"/>
              <w:szCs w:val="32"/>
            </w:rPr>
            <w:t xml:space="preserve"> -</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_Toc20956 </w:instrText>
          </w:r>
          <w:r>
            <w:rPr>
              <w:sz w:val="28"/>
              <w:szCs w:val="56"/>
            </w:rPr>
            <w:fldChar w:fldCharType="separate"/>
          </w:r>
          <w:r>
            <w:rPr>
              <w:rFonts w:ascii="宋体" w:hAnsi="宋体" w:eastAsia="宋体" w:cs="宋体"/>
              <w:bCs/>
              <w:snapToGrid w:val="0"/>
              <w:spacing w:val="9"/>
              <w:kern w:val="0"/>
              <w:sz w:val="28"/>
              <w:szCs w:val="48"/>
              <w:lang w:val="en-US" w:eastAsia="en-US" w:bidi="ar-SA"/>
            </w:rPr>
            <w:t>第九章 投资估算和资金筹措</w:t>
          </w:r>
          <w:r>
            <w:rPr>
              <w:sz w:val="28"/>
              <w:szCs w:val="32"/>
            </w:rPr>
            <w:tab/>
          </w:r>
          <w:r>
            <w:rPr>
              <w:sz w:val="28"/>
              <w:szCs w:val="32"/>
            </w:rPr>
            <w:fldChar w:fldCharType="begin"/>
          </w:r>
          <w:r>
            <w:rPr>
              <w:sz w:val="28"/>
              <w:szCs w:val="32"/>
            </w:rPr>
            <w:instrText xml:space="preserve"> PAGEREF _Toc20956 \h </w:instrText>
          </w:r>
          <w:r>
            <w:rPr>
              <w:sz w:val="28"/>
              <w:szCs w:val="32"/>
            </w:rPr>
            <w:fldChar w:fldCharType="separate"/>
          </w:r>
          <w:r>
            <w:rPr>
              <w:sz w:val="28"/>
              <w:szCs w:val="32"/>
            </w:rPr>
            <w:t>- 3</w:t>
          </w:r>
          <w:r>
            <w:rPr>
              <w:rFonts w:hint="eastAsia"/>
              <w:sz w:val="28"/>
              <w:szCs w:val="32"/>
              <w:lang w:val="en-US" w:eastAsia="zh-CN"/>
            </w:rPr>
            <w:t>1</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_Toc23413 </w:instrText>
          </w:r>
          <w:r>
            <w:rPr>
              <w:sz w:val="28"/>
              <w:szCs w:val="56"/>
            </w:rPr>
            <w:fldChar w:fldCharType="separate"/>
          </w:r>
          <w:r>
            <w:rPr>
              <w:rFonts w:ascii="宋体" w:hAnsi="宋体" w:eastAsia="宋体" w:cs="宋体"/>
              <w:bCs/>
              <w:snapToGrid w:val="0"/>
              <w:spacing w:val="4"/>
              <w:kern w:val="0"/>
              <w:sz w:val="28"/>
              <w:szCs w:val="40"/>
              <w:lang w:val="en-US" w:eastAsia="en-US" w:bidi="ar-SA"/>
            </w:rPr>
            <w:t>9.1 投资估算</w:t>
          </w:r>
          <w:r>
            <w:rPr>
              <w:sz w:val="28"/>
              <w:szCs w:val="32"/>
            </w:rPr>
            <w:tab/>
          </w:r>
          <w:r>
            <w:rPr>
              <w:sz w:val="28"/>
              <w:szCs w:val="32"/>
            </w:rPr>
            <w:fldChar w:fldCharType="begin"/>
          </w:r>
          <w:r>
            <w:rPr>
              <w:sz w:val="28"/>
              <w:szCs w:val="32"/>
            </w:rPr>
            <w:instrText xml:space="preserve"> PAGEREF _Toc23413 \h </w:instrText>
          </w:r>
          <w:r>
            <w:rPr>
              <w:sz w:val="28"/>
              <w:szCs w:val="32"/>
            </w:rPr>
            <w:fldChar w:fldCharType="separate"/>
          </w:r>
          <w:r>
            <w:rPr>
              <w:sz w:val="28"/>
              <w:szCs w:val="32"/>
            </w:rPr>
            <w:t>- 3</w:t>
          </w:r>
          <w:r>
            <w:rPr>
              <w:rFonts w:hint="eastAsia"/>
              <w:sz w:val="28"/>
              <w:szCs w:val="32"/>
              <w:lang w:val="en-US" w:eastAsia="zh-CN"/>
            </w:rPr>
            <w:t>1</w:t>
          </w:r>
          <w:r>
            <w:rPr>
              <w:sz w:val="28"/>
              <w:szCs w:val="32"/>
            </w:rPr>
            <w:t>-</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_Toc31373 </w:instrText>
          </w:r>
          <w:r>
            <w:rPr>
              <w:sz w:val="28"/>
              <w:szCs w:val="56"/>
            </w:rPr>
            <w:fldChar w:fldCharType="separate"/>
          </w:r>
          <w:r>
            <w:rPr>
              <w:rFonts w:ascii="宋体" w:hAnsi="宋体" w:eastAsia="宋体" w:cs="宋体"/>
              <w:bCs/>
              <w:snapToGrid w:val="0"/>
              <w:spacing w:val="4"/>
              <w:kern w:val="0"/>
              <w:sz w:val="28"/>
              <w:szCs w:val="40"/>
              <w:lang w:val="en-US" w:eastAsia="en-US" w:bidi="ar-SA"/>
            </w:rPr>
            <w:t xml:space="preserve">9.2 </w:t>
          </w:r>
          <w:r>
            <w:rPr>
              <w:sz w:val="28"/>
              <w:szCs w:val="56"/>
            </w:rPr>
            <w:fldChar w:fldCharType="end"/>
          </w:r>
          <w:r>
            <w:rPr>
              <w:sz w:val="28"/>
              <w:szCs w:val="56"/>
            </w:rPr>
            <w:fldChar w:fldCharType="begin"/>
          </w:r>
          <w:r>
            <w:rPr>
              <w:sz w:val="28"/>
              <w:szCs w:val="56"/>
            </w:rPr>
            <w:instrText xml:space="preserve"> HYPERLINK \l _Toc20425 </w:instrText>
          </w:r>
          <w:r>
            <w:rPr>
              <w:sz w:val="28"/>
              <w:szCs w:val="56"/>
            </w:rPr>
            <w:fldChar w:fldCharType="separate"/>
          </w:r>
          <w:r>
            <w:rPr>
              <w:rFonts w:ascii="宋体" w:hAnsi="宋体" w:eastAsia="宋体" w:cs="宋体"/>
              <w:bCs/>
              <w:snapToGrid w:val="0"/>
              <w:spacing w:val="4"/>
              <w:kern w:val="0"/>
              <w:sz w:val="28"/>
              <w:szCs w:val="40"/>
              <w:lang w:val="en-US" w:eastAsia="en-US" w:bidi="ar-SA"/>
            </w:rPr>
            <w:t>资金管理</w:t>
          </w:r>
          <w:r>
            <w:rPr>
              <w:sz w:val="28"/>
              <w:szCs w:val="32"/>
            </w:rPr>
            <w:tab/>
          </w:r>
          <w:r>
            <w:rPr>
              <w:sz w:val="28"/>
              <w:szCs w:val="32"/>
            </w:rPr>
            <w:fldChar w:fldCharType="begin"/>
          </w:r>
          <w:r>
            <w:rPr>
              <w:sz w:val="28"/>
              <w:szCs w:val="32"/>
            </w:rPr>
            <w:instrText xml:space="preserve"> PAGEREF _Toc20425 \h </w:instrText>
          </w:r>
          <w:r>
            <w:rPr>
              <w:sz w:val="28"/>
              <w:szCs w:val="32"/>
            </w:rPr>
            <w:fldChar w:fldCharType="separate"/>
          </w:r>
          <w:r>
            <w:rPr>
              <w:sz w:val="28"/>
              <w:szCs w:val="32"/>
            </w:rPr>
            <w:t>- 3</w:t>
          </w:r>
          <w:r>
            <w:rPr>
              <w:rFonts w:hint="eastAsia"/>
              <w:sz w:val="28"/>
              <w:szCs w:val="32"/>
              <w:lang w:val="en-US" w:eastAsia="zh-CN"/>
            </w:rPr>
            <w:t>1</w:t>
          </w:r>
          <w:r>
            <w:rPr>
              <w:sz w:val="28"/>
              <w:szCs w:val="32"/>
            </w:rPr>
            <w:t xml:space="preserve"> -</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_Toc17912 </w:instrText>
          </w:r>
          <w:r>
            <w:rPr>
              <w:sz w:val="28"/>
              <w:szCs w:val="56"/>
            </w:rPr>
            <w:fldChar w:fldCharType="separate"/>
          </w:r>
          <w:r>
            <w:rPr>
              <w:rFonts w:ascii="宋体" w:hAnsi="宋体" w:eastAsia="宋体" w:cs="宋体"/>
              <w:bCs/>
              <w:snapToGrid w:val="0"/>
              <w:spacing w:val="9"/>
              <w:kern w:val="0"/>
              <w:sz w:val="28"/>
              <w:szCs w:val="48"/>
              <w:lang w:val="en-US" w:eastAsia="en-US" w:bidi="ar-SA"/>
            </w:rPr>
            <w:t>第十章 项目效益分析</w:t>
          </w:r>
          <w:r>
            <w:rPr>
              <w:sz w:val="28"/>
              <w:szCs w:val="32"/>
            </w:rPr>
            <w:tab/>
          </w:r>
          <w:r>
            <w:rPr>
              <w:sz w:val="28"/>
              <w:szCs w:val="32"/>
            </w:rPr>
            <w:fldChar w:fldCharType="begin"/>
          </w:r>
          <w:r>
            <w:rPr>
              <w:sz w:val="28"/>
              <w:szCs w:val="32"/>
            </w:rPr>
            <w:instrText xml:space="preserve"> PAGEREF _Toc17912 \h </w:instrText>
          </w:r>
          <w:r>
            <w:rPr>
              <w:sz w:val="28"/>
              <w:szCs w:val="32"/>
            </w:rPr>
            <w:fldChar w:fldCharType="separate"/>
          </w:r>
          <w:r>
            <w:rPr>
              <w:sz w:val="28"/>
              <w:szCs w:val="32"/>
            </w:rPr>
            <w:t>- 3</w:t>
          </w:r>
          <w:r>
            <w:rPr>
              <w:rFonts w:hint="eastAsia"/>
              <w:sz w:val="28"/>
              <w:szCs w:val="32"/>
              <w:lang w:val="en-US" w:eastAsia="zh-CN"/>
            </w:rPr>
            <w:t xml:space="preserve">2 </w:t>
          </w:r>
          <w:r>
            <w:rPr>
              <w:sz w:val="28"/>
              <w:szCs w:val="32"/>
            </w:rPr>
            <w:t>-</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_Toc6517 </w:instrText>
          </w:r>
          <w:r>
            <w:rPr>
              <w:sz w:val="28"/>
              <w:szCs w:val="56"/>
            </w:rPr>
            <w:fldChar w:fldCharType="separate"/>
          </w:r>
          <w:r>
            <w:rPr>
              <w:rFonts w:ascii="宋体" w:hAnsi="宋体" w:eastAsia="宋体" w:cs="宋体"/>
              <w:bCs/>
              <w:snapToGrid w:val="0"/>
              <w:spacing w:val="4"/>
              <w:kern w:val="0"/>
              <w:sz w:val="28"/>
              <w:szCs w:val="40"/>
              <w:lang w:val="en-US" w:eastAsia="en-US" w:bidi="ar-SA"/>
            </w:rPr>
            <w:t>10.1 环境效益</w:t>
          </w:r>
          <w:r>
            <w:rPr>
              <w:sz w:val="28"/>
              <w:szCs w:val="32"/>
            </w:rPr>
            <w:tab/>
          </w:r>
          <w:r>
            <w:rPr>
              <w:sz w:val="28"/>
              <w:szCs w:val="32"/>
            </w:rPr>
            <w:fldChar w:fldCharType="begin"/>
          </w:r>
          <w:r>
            <w:rPr>
              <w:sz w:val="28"/>
              <w:szCs w:val="32"/>
            </w:rPr>
            <w:instrText xml:space="preserve"> PAGEREF _Toc6517 \h </w:instrText>
          </w:r>
          <w:r>
            <w:rPr>
              <w:sz w:val="28"/>
              <w:szCs w:val="32"/>
            </w:rPr>
            <w:fldChar w:fldCharType="separate"/>
          </w:r>
          <w:r>
            <w:rPr>
              <w:sz w:val="28"/>
              <w:szCs w:val="32"/>
            </w:rPr>
            <w:t>- 3</w:t>
          </w:r>
          <w:r>
            <w:rPr>
              <w:rFonts w:hint="eastAsia"/>
              <w:sz w:val="28"/>
              <w:szCs w:val="32"/>
              <w:lang w:val="en-US" w:eastAsia="zh-CN"/>
            </w:rPr>
            <w:t>2</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_Toc30160 </w:instrText>
          </w:r>
          <w:r>
            <w:rPr>
              <w:sz w:val="28"/>
              <w:szCs w:val="56"/>
            </w:rPr>
            <w:fldChar w:fldCharType="separate"/>
          </w:r>
          <w:r>
            <w:rPr>
              <w:rFonts w:ascii="宋体" w:hAnsi="宋体" w:eastAsia="宋体" w:cs="宋体"/>
              <w:bCs/>
              <w:snapToGrid w:val="0"/>
              <w:spacing w:val="4"/>
              <w:kern w:val="0"/>
              <w:sz w:val="28"/>
              <w:szCs w:val="40"/>
              <w:lang w:val="en-US" w:eastAsia="en-US" w:bidi="ar-SA"/>
            </w:rPr>
            <w:t>10.2 社会效益</w:t>
          </w:r>
          <w:r>
            <w:rPr>
              <w:sz w:val="28"/>
              <w:szCs w:val="32"/>
            </w:rPr>
            <w:tab/>
          </w:r>
          <w:r>
            <w:rPr>
              <w:sz w:val="28"/>
              <w:szCs w:val="32"/>
            </w:rPr>
            <w:fldChar w:fldCharType="begin"/>
          </w:r>
          <w:r>
            <w:rPr>
              <w:sz w:val="28"/>
              <w:szCs w:val="32"/>
            </w:rPr>
            <w:instrText xml:space="preserve"> PAGEREF _Toc30160 \h </w:instrText>
          </w:r>
          <w:r>
            <w:rPr>
              <w:sz w:val="28"/>
              <w:szCs w:val="32"/>
            </w:rPr>
            <w:fldChar w:fldCharType="separate"/>
          </w:r>
          <w:r>
            <w:rPr>
              <w:sz w:val="28"/>
              <w:szCs w:val="32"/>
            </w:rPr>
            <w:t>- 3</w:t>
          </w:r>
          <w:r>
            <w:rPr>
              <w:rFonts w:hint="eastAsia"/>
              <w:sz w:val="28"/>
              <w:szCs w:val="32"/>
              <w:lang w:val="en-US" w:eastAsia="zh-CN"/>
            </w:rPr>
            <w:t>3</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_Toc12662 </w:instrText>
          </w:r>
          <w:r>
            <w:rPr>
              <w:sz w:val="28"/>
              <w:szCs w:val="56"/>
            </w:rPr>
            <w:fldChar w:fldCharType="separate"/>
          </w:r>
          <w:r>
            <w:rPr>
              <w:rFonts w:ascii="宋体" w:hAnsi="宋体" w:eastAsia="宋体" w:cs="宋体"/>
              <w:bCs/>
              <w:snapToGrid w:val="0"/>
              <w:spacing w:val="4"/>
              <w:kern w:val="0"/>
              <w:sz w:val="28"/>
              <w:szCs w:val="40"/>
              <w:lang w:val="en-US" w:eastAsia="en-US" w:bidi="ar-SA"/>
            </w:rPr>
            <w:t>10.3 经济效益</w:t>
          </w:r>
          <w:r>
            <w:rPr>
              <w:sz w:val="28"/>
              <w:szCs w:val="32"/>
            </w:rPr>
            <w:tab/>
          </w:r>
          <w:r>
            <w:rPr>
              <w:sz w:val="28"/>
              <w:szCs w:val="32"/>
            </w:rPr>
            <w:fldChar w:fldCharType="begin"/>
          </w:r>
          <w:r>
            <w:rPr>
              <w:sz w:val="28"/>
              <w:szCs w:val="32"/>
            </w:rPr>
            <w:instrText xml:space="preserve"> PAGEREF _Toc12662 \h </w:instrText>
          </w:r>
          <w:r>
            <w:rPr>
              <w:sz w:val="28"/>
              <w:szCs w:val="32"/>
            </w:rPr>
            <w:fldChar w:fldCharType="separate"/>
          </w:r>
          <w:r>
            <w:rPr>
              <w:sz w:val="28"/>
              <w:szCs w:val="32"/>
            </w:rPr>
            <w:t>- 3</w:t>
          </w:r>
          <w:r>
            <w:rPr>
              <w:rFonts w:hint="eastAsia"/>
              <w:sz w:val="28"/>
              <w:szCs w:val="32"/>
              <w:lang w:val="en-US" w:eastAsia="zh-CN"/>
            </w:rPr>
            <w:t>3</w:t>
          </w:r>
          <w:r>
            <w:rPr>
              <w:sz w:val="28"/>
              <w:szCs w:val="32"/>
            </w:rPr>
            <w:t xml:space="preserve"> -</w:t>
          </w:r>
          <w:r>
            <w:rPr>
              <w:sz w:val="28"/>
              <w:szCs w:val="32"/>
            </w:rPr>
            <w:fldChar w:fldCharType="end"/>
          </w:r>
          <w:r>
            <w:rPr>
              <w:sz w:val="28"/>
              <w:szCs w:val="56"/>
            </w:rPr>
            <w:fldChar w:fldCharType="end"/>
          </w:r>
        </w:p>
        <w:p>
          <w:pPr>
            <w:pStyle w:val="8"/>
            <w:tabs>
              <w:tab w:val="right" w:leader="dot" w:pos="9741"/>
            </w:tabs>
            <w:rPr>
              <w:sz w:val="28"/>
              <w:szCs w:val="32"/>
            </w:rPr>
          </w:pPr>
          <w:r>
            <w:rPr>
              <w:sz w:val="28"/>
              <w:szCs w:val="56"/>
            </w:rPr>
            <w:fldChar w:fldCharType="begin"/>
          </w:r>
          <w:r>
            <w:rPr>
              <w:sz w:val="28"/>
              <w:szCs w:val="56"/>
            </w:rPr>
            <w:instrText xml:space="preserve"> HYPERLINK \l _Toc19669 </w:instrText>
          </w:r>
          <w:r>
            <w:rPr>
              <w:sz w:val="28"/>
              <w:szCs w:val="56"/>
            </w:rPr>
            <w:fldChar w:fldCharType="separate"/>
          </w:r>
          <w:r>
            <w:rPr>
              <w:rFonts w:ascii="宋体" w:hAnsi="宋体" w:eastAsia="宋体" w:cs="宋体"/>
              <w:bCs/>
              <w:snapToGrid w:val="0"/>
              <w:spacing w:val="9"/>
              <w:kern w:val="0"/>
              <w:sz w:val="28"/>
              <w:szCs w:val="48"/>
              <w:lang w:val="en-US" w:eastAsia="en-US" w:bidi="ar-SA"/>
            </w:rPr>
            <w:t>第十一章 项目组织管理</w:t>
          </w:r>
          <w:r>
            <w:rPr>
              <w:sz w:val="28"/>
              <w:szCs w:val="32"/>
            </w:rPr>
            <w:tab/>
          </w:r>
          <w:r>
            <w:rPr>
              <w:sz w:val="28"/>
              <w:szCs w:val="32"/>
            </w:rPr>
            <w:fldChar w:fldCharType="begin"/>
          </w:r>
          <w:r>
            <w:rPr>
              <w:sz w:val="28"/>
              <w:szCs w:val="32"/>
            </w:rPr>
            <w:instrText xml:space="preserve"> PAGEREF _Toc19669 \h </w:instrText>
          </w:r>
          <w:r>
            <w:rPr>
              <w:sz w:val="28"/>
              <w:szCs w:val="32"/>
            </w:rPr>
            <w:fldChar w:fldCharType="separate"/>
          </w:r>
          <w:r>
            <w:rPr>
              <w:sz w:val="28"/>
              <w:szCs w:val="32"/>
            </w:rPr>
            <w:t>- 3</w:t>
          </w:r>
          <w:r>
            <w:rPr>
              <w:rFonts w:hint="eastAsia"/>
              <w:sz w:val="28"/>
              <w:szCs w:val="32"/>
              <w:lang w:val="en-US" w:eastAsia="zh-CN"/>
            </w:rPr>
            <w:t>4</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_Toc3704 </w:instrText>
          </w:r>
          <w:r>
            <w:rPr>
              <w:sz w:val="28"/>
              <w:szCs w:val="56"/>
            </w:rPr>
            <w:fldChar w:fldCharType="separate"/>
          </w:r>
          <w:r>
            <w:rPr>
              <w:rFonts w:ascii="宋体" w:hAnsi="宋体" w:eastAsia="宋体" w:cs="宋体"/>
              <w:bCs/>
              <w:snapToGrid w:val="0"/>
              <w:spacing w:val="4"/>
              <w:kern w:val="0"/>
              <w:sz w:val="28"/>
              <w:szCs w:val="40"/>
              <w:lang w:val="en-US" w:eastAsia="en-US" w:bidi="ar-SA"/>
            </w:rPr>
            <w:t>11.1项目建设期的组织与管理</w:t>
          </w:r>
          <w:r>
            <w:rPr>
              <w:sz w:val="28"/>
              <w:szCs w:val="32"/>
            </w:rPr>
            <w:tab/>
          </w:r>
          <w:r>
            <w:rPr>
              <w:sz w:val="28"/>
              <w:szCs w:val="32"/>
            </w:rPr>
            <w:fldChar w:fldCharType="begin"/>
          </w:r>
          <w:r>
            <w:rPr>
              <w:sz w:val="28"/>
              <w:szCs w:val="32"/>
            </w:rPr>
            <w:instrText xml:space="preserve"> PAGEREF _Toc3704 \h </w:instrText>
          </w:r>
          <w:r>
            <w:rPr>
              <w:sz w:val="28"/>
              <w:szCs w:val="32"/>
            </w:rPr>
            <w:fldChar w:fldCharType="separate"/>
          </w:r>
          <w:r>
            <w:rPr>
              <w:sz w:val="28"/>
              <w:szCs w:val="32"/>
            </w:rPr>
            <w:t>- 3</w:t>
          </w:r>
          <w:r>
            <w:rPr>
              <w:rFonts w:hint="eastAsia"/>
              <w:sz w:val="28"/>
              <w:szCs w:val="32"/>
              <w:lang w:val="en-US" w:eastAsia="zh-CN"/>
            </w:rPr>
            <w:t>5</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_Toc21054 </w:instrText>
          </w:r>
          <w:r>
            <w:rPr>
              <w:sz w:val="28"/>
              <w:szCs w:val="56"/>
            </w:rPr>
            <w:fldChar w:fldCharType="separate"/>
          </w:r>
          <w:r>
            <w:rPr>
              <w:rFonts w:ascii="宋体" w:hAnsi="宋体" w:eastAsia="宋体" w:cs="宋体"/>
              <w:bCs/>
              <w:snapToGrid w:val="0"/>
              <w:spacing w:val="4"/>
              <w:kern w:val="0"/>
              <w:sz w:val="28"/>
              <w:szCs w:val="40"/>
              <w:lang w:val="en-US" w:eastAsia="en-US" w:bidi="ar-SA"/>
            </w:rPr>
            <w:t>11.2项目运行期的保障措施和创新机制</w:t>
          </w:r>
          <w:r>
            <w:rPr>
              <w:sz w:val="28"/>
              <w:szCs w:val="32"/>
            </w:rPr>
            <w:tab/>
          </w:r>
          <w:r>
            <w:rPr>
              <w:sz w:val="28"/>
              <w:szCs w:val="32"/>
            </w:rPr>
            <w:fldChar w:fldCharType="begin"/>
          </w:r>
          <w:r>
            <w:rPr>
              <w:sz w:val="28"/>
              <w:szCs w:val="32"/>
            </w:rPr>
            <w:instrText xml:space="preserve"> PAGEREF _Toc21054 \h </w:instrText>
          </w:r>
          <w:r>
            <w:rPr>
              <w:sz w:val="28"/>
              <w:szCs w:val="32"/>
            </w:rPr>
            <w:fldChar w:fldCharType="separate"/>
          </w:r>
          <w:r>
            <w:rPr>
              <w:sz w:val="28"/>
              <w:szCs w:val="32"/>
            </w:rPr>
            <w:t>- 3</w:t>
          </w:r>
          <w:r>
            <w:rPr>
              <w:rFonts w:hint="eastAsia"/>
              <w:sz w:val="28"/>
              <w:szCs w:val="32"/>
              <w:lang w:val="en-US" w:eastAsia="zh-CN"/>
            </w:rPr>
            <w:t>5</w:t>
          </w:r>
          <w:r>
            <w:rPr>
              <w:sz w:val="28"/>
              <w:szCs w:val="32"/>
            </w:rPr>
            <w:t xml:space="preserve"> -</w:t>
          </w:r>
          <w:r>
            <w:rPr>
              <w:sz w:val="28"/>
              <w:szCs w:val="32"/>
            </w:rPr>
            <w:fldChar w:fldCharType="end"/>
          </w:r>
          <w:r>
            <w:rPr>
              <w:sz w:val="28"/>
              <w:szCs w:val="56"/>
            </w:rPr>
            <w:fldChar w:fldCharType="end"/>
          </w:r>
        </w:p>
        <w:p>
          <w:pPr>
            <w:pStyle w:val="5"/>
            <w:tabs>
              <w:tab w:val="right" w:leader="dot" w:pos="9741"/>
            </w:tabs>
            <w:rPr>
              <w:sz w:val="28"/>
              <w:szCs w:val="32"/>
            </w:rPr>
          </w:pPr>
          <w:r>
            <w:rPr>
              <w:sz w:val="28"/>
              <w:szCs w:val="56"/>
            </w:rPr>
            <w:fldChar w:fldCharType="begin"/>
          </w:r>
          <w:r>
            <w:rPr>
              <w:sz w:val="28"/>
              <w:szCs w:val="56"/>
            </w:rPr>
            <w:instrText xml:space="preserve"> HYPERLINK \l _Toc24845 </w:instrText>
          </w:r>
          <w:r>
            <w:rPr>
              <w:sz w:val="28"/>
              <w:szCs w:val="56"/>
            </w:rPr>
            <w:fldChar w:fldCharType="separate"/>
          </w:r>
          <w:r>
            <w:rPr>
              <w:rFonts w:ascii="宋体" w:hAnsi="宋体" w:eastAsia="宋体" w:cs="宋体"/>
              <w:bCs/>
              <w:snapToGrid w:val="0"/>
              <w:spacing w:val="4"/>
              <w:kern w:val="0"/>
              <w:sz w:val="28"/>
              <w:szCs w:val="40"/>
              <w:lang w:val="en-US" w:eastAsia="en-US" w:bidi="ar-SA"/>
            </w:rPr>
            <w:t>11.3项目验收与补贴资金的拨付</w:t>
          </w:r>
          <w:r>
            <w:rPr>
              <w:sz w:val="28"/>
              <w:szCs w:val="32"/>
            </w:rPr>
            <w:tab/>
          </w:r>
          <w:r>
            <w:rPr>
              <w:sz w:val="28"/>
              <w:szCs w:val="32"/>
            </w:rPr>
            <w:fldChar w:fldCharType="begin"/>
          </w:r>
          <w:r>
            <w:rPr>
              <w:sz w:val="28"/>
              <w:szCs w:val="32"/>
            </w:rPr>
            <w:instrText xml:space="preserve"> PAGEREF _Toc24845 \h </w:instrText>
          </w:r>
          <w:r>
            <w:rPr>
              <w:sz w:val="28"/>
              <w:szCs w:val="32"/>
            </w:rPr>
            <w:fldChar w:fldCharType="separate"/>
          </w:r>
          <w:r>
            <w:rPr>
              <w:sz w:val="28"/>
              <w:szCs w:val="32"/>
            </w:rPr>
            <w:t>- 3</w:t>
          </w:r>
          <w:r>
            <w:rPr>
              <w:rFonts w:hint="eastAsia"/>
              <w:sz w:val="28"/>
              <w:szCs w:val="32"/>
              <w:lang w:val="en-US" w:eastAsia="zh-CN"/>
            </w:rPr>
            <w:t>6</w:t>
          </w:r>
          <w:r>
            <w:rPr>
              <w:sz w:val="28"/>
              <w:szCs w:val="32"/>
            </w:rPr>
            <w:t xml:space="preserve"> -</w:t>
          </w:r>
          <w:r>
            <w:rPr>
              <w:sz w:val="28"/>
              <w:szCs w:val="32"/>
            </w:rPr>
            <w:fldChar w:fldCharType="end"/>
          </w:r>
          <w:r>
            <w:rPr>
              <w:sz w:val="28"/>
              <w:szCs w:val="56"/>
            </w:rPr>
            <w:fldChar w:fldCharType="end"/>
          </w:r>
        </w:p>
        <w:p>
          <w:pPr>
            <w:spacing w:line="227" w:lineRule="auto"/>
            <w:rPr>
              <w:sz w:val="28"/>
              <w:szCs w:val="24"/>
            </w:rPr>
          </w:pPr>
          <w:r>
            <w:rPr>
              <w:sz w:val="28"/>
              <w:szCs w:val="56"/>
            </w:rPr>
            <w:fldChar w:fldCharType="end"/>
          </w:r>
        </w:p>
      </w:sdtContent>
    </w:sdt>
    <w:p>
      <w:pPr>
        <w:spacing w:line="227" w:lineRule="auto"/>
        <w:rPr>
          <w:sz w:val="28"/>
          <w:szCs w:val="24"/>
        </w:rPr>
        <w:sectPr>
          <w:headerReference r:id="rId3" w:type="default"/>
          <w:pgSz w:w="11900" w:h="16840"/>
          <w:pgMar w:top="400" w:right="1079" w:bottom="0" w:left="1080" w:header="0" w:footer="0" w:gutter="0"/>
          <w:pgNumType w:fmt="numberInDash"/>
          <w:cols w:space="720" w:num="1"/>
        </w:sectPr>
      </w:pP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0" w:name="_Toc8838"/>
      <w:r>
        <w:rPr>
          <w:rFonts w:ascii="宋体" w:hAnsi="宋体" w:eastAsia="宋体" w:cs="宋体"/>
          <w:b/>
          <w:bCs/>
          <w:snapToGrid w:val="0"/>
          <w:color w:val="000000"/>
          <w:spacing w:val="9"/>
          <w:kern w:val="0"/>
          <w:sz w:val="38"/>
          <w:szCs w:val="38"/>
          <w:lang w:val="en-US" w:eastAsia="en-US" w:bidi="ar-SA"/>
        </w:rPr>
        <w:t>第一章 总说明</w:t>
      </w:r>
      <w:bookmarkEnd w:id="0"/>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 w:name="_Toc12056"/>
      <w:bookmarkStart w:id="2" w:name="heading_1"/>
      <w:r>
        <w:rPr>
          <w:rFonts w:ascii="宋体" w:hAnsi="宋体" w:eastAsia="宋体" w:cs="宋体"/>
          <w:b/>
          <w:bCs/>
          <w:snapToGrid w:val="0"/>
          <w:color w:val="000000"/>
          <w:spacing w:val="4"/>
          <w:kern w:val="0"/>
          <w:sz w:val="30"/>
          <w:szCs w:val="30"/>
          <w:lang w:val="en-US" w:eastAsia="en-US" w:bidi="ar-SA"/>
        </w:rPr>
        <w:t>1.1 项目概况</w:t>
      </w:r>
      <w:bookmarkEnd w:id="1"/>
      <w:bookmarkEnd w:id="2"/>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en-US" w:bidi="ar-SA"/>
        </w:rPr>
      </w:pPr>
      <w:r>
        <w:rPr>
          <w:rFonts w:hint="eastAsia" w:ascii="Times New Roman" w:hAnsi="Times New Roman" w:eastAsia="宋体" w:cs="Times New Roman"/>
          <w:color w:val="000000"/>
          <w:kern w:val="2"/>
          <w:sz w:val="28"/>
          <w:szCs w:val="28"/>
          <w:lang w:val="en-US" w:eastAsia="en-US" w:bidi="ar-SA"/>
        </w:rPr>
        <w:t>为贯彻落实党的十九届五中全会、中央农村工作会议精神和省委省政府决策部署，深入实施《中共中央关于制定国民经济和社会发展第十四个五年规划和二〇三五年远景目标的建议》，全面推进乡村振兴战略，持续深化农业供给侧结构性改革，指导“三农”各项工作顺利开展落地，进一步提高各项政策的指向性、精准性和有效性，根据河北省财政厅关于省级大气污染防治专项资金预算相关要求，结合本地实际制定本实施方案。</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平山县东回舍镇东回舍村新建生物质颗粒基地建设项目，位于平山县东回舍镇东回舍村嘉阳物流园区18号，项目占地面积</w:t>
      </w:r>
      <w:r>
        <w:rPr>
          <w:rFonts w:hint="eastAsia" w:cs="Times New Roman"/>
          <w:color w:val="000000"/>
          <w:kern w:val="2"/>
          <w:sz w:val="28"/>
          <w:szCs w:val="28"/>
          <w:lang w:val="en-US" w:eastAsia="zh-CN" w:bidi="ar-SA"/>
        </w:rPr>
        <w:t>19亩</w:t>
      </w:r>
      <w:r>
        <w:rPr>
          <w:rFonts w:hint="eastAsia" w:ascii="Times New Roman" w:hAnsi="Times New Roman" w:eastAsia="宋体" w:cs="Times New Roman"/>
          <w:color w:val="000000"/>
          <w:kern w:val="2"/>
          <w:sz w:val="28"/>
          <w:szCs w:val="28"/>
          <w:lang w:val="en-US" w:eastAsia="zh-CN" w:bidi="ar-SA"/>
        </w:rPr>
        <w:t>。东回舍镇地理位置优越，农业和林业资源丰富，周边区域农作物种植广泛，林业覆盖面积较大，每年产生大量秸秆、树枝等农林废弃物，为项目提供了充足的原料保障。该项目将当地农林废弃物以及树枝就地收集、加工成型、就地利用，变废为宝，可有效增加农民收入，推动区域生态循环农业发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auto"/>
          <w:kern w:val="2"/>
          <w:sz w:val="28"/>
          <w:szCs w:val="28"/>
          <w:highlight w:val="none"/>
          <w:lang w:val="en-US" w:eastAsia="zh-CN" w:bidi="ar-SA"/>
        </w:rPr>
      </w:pPr>
      <w:r>
        <w:rPr>
          <w:rFonts w:hint="eastAsia" w:ascii="Times New Roman" w:hAnsi="Times New Roman" w:eastAsia="宋体" w:cs="Times New Roman"/>
          <w:color w:val="auto"/>
          <w:kern w:val="2"/>
          <w:sz w:val="28"/>
          <w:szCs w:val="28"/>
          <w:highlight w:val="none"/>
          <w:lang w:val="en-US" w:eastAsia="zh-CN" w:bidi="ar-SA"/>
        </w:rPr>
        <w:t>本项目拟分阶段建设，2026年先投建生产生物质制粒生产线</w:t>
      </w:r>
      <w:r>
        <w:rPr>
          <w:rFonts w:hint="eastAsia" w:cs="Times New Roman"/>
          <w:color w:val="auto"/>
          <w:kern w:val="2"/>
          <w:sz w:val="28"/>
          <w:szCs w:val="28"/>
          <w:highlight w:val="none"/>
          <w:lang w:val="en-US" w:eastAsia="zh-CN" w:bidi="ar-SA"/>
        </w:rPr>
        <w:t>1</w:t>
      </w:r>
      <w:r>
        <w:rPr>
          <w:rFonts w:hint="eastAsia" w:ascii="Times New Roman" w:hAnsi="Times New Roman" w:eastAsia="宋体" w:cs="Times New Roman"/>
          <w:color w:val="auto"/>
          <w:kern w:val="2"/>
          <w:sz w:val="28"/>
          <w:szCs w:val="28"/>
          <w:highlight w:val="none"/>
          <w:lang w:val="en-US" w:eastAsia="zh-CN" w:bidi="ar-SA"/>
        </w:rPr>
        <w:t>条，配备</w:t>
      </w:r>
      <w:r>
        <w:rPr>
          <w:rFonts w:hint="eastAsia" w:cs="Times New Roman"/>
          <w:color w:val="auto"/>
          <w:kern w:val="2"/>
          <w:sz w:val="28"/>
          <w:szCs w:val="28"/>
          <w:highlight w:val="none"/>
          <w:lang w:val="en-US" w:eastAsia="zh-CN" w:bidi="ar-SA"/>
        </w:rPr>
        <w:t>2</w:t>
      </w:r>
      <w:r>
        <w:rPr>
          <w:rFonts w:hint="eastAsia" w:ascii="Times New Roman" w:hAnsi="Times New Roman" w:eastAsia="宋体" w:cs="Times New Roman"/>
          <w:color w:val="auto"/>
          <w:kern w:val="2"/>
          <w:sz w:val="28"/>
          <w:szCs w:val="28"/>
          <w:highlight w:val="none"/>
          <w:lang w:val="en-US" w:eastAsia="zh-CN" w:bidi="ar-SA"/>
        </w:rPr>
        <w:t>台制粒机，设计产能达到</w:t>
      </w:r>
      <w:r>
        <w:rPr>
          <w:rFonts w:hint="eastAsia" w:cs="Times New Roman"/>
          <w:color w:val="auto"/>
          <w:kern w:val="2"/>
          <w:sz w:val="28"/>
          <w:szCs w:val="28"/>
          <w:highlight w:val="none"/>
          <w:lang w:val="en-US" w:eastAsia="zh-CN" w:bidi="ar-SA"/>
        </w:rPr>
        <w:t>1万</w:t>
      </w:r>
      <w:r>
        <w:rPr>
          <w:rFonts w:hint="eastAsia" w:ascii="Times New Roman" w:hAnsi="Times New Roman" w:eastAsia="宋体" w:cs="Times New Roman"/>
          <w:color w:val="auto"/>
          <w:kern w:val="2"/>
          <w:sz w:val="28"/>
          <w:szCs w:val="28"/>
          <w:highlight w:val="none"/>
          <w:lang w:val="en-US" w:eastAsia="zh-CN" w:bidi="ar-SA"/>
        </w:rPr>
        <w:t>吨/年；后续根据市场需求和发展情况，逐步扩建至</w:t>
      </w:r>
      <w:r>
        <w:rPr>
          <w:rFonts w:hint="eastAsia" w:cs="Times New Roman"/>
          <w:color w:val="auto"/>
          <w:kern w:val="2"/>
          <w:sz w:val="28"/>
          <w:szCs w:val="28"/>
          <w:highlight w:val="none"/>
          <w:lang w:val="en-US" w:eastAsia="zh-CN" w:bidi="ar-SA"/>
        </w:rPr>
        <w:t>6</w:t>
      </w:r>
      <w:r>
        <w:rPr>
          <w:rFonts w:hint="eastAsia" w:ascii="Times New Roman" w:hAnsi="Times New Roman" w:eastAsia="宋体" w:cs="Times New Roman"/>
          <w:color w:val="auto"/>
          <w:kern w:val="2"/>
          <w:sz w:val="28"/>
          <w:szCs w:val="28"/>
          <w:highlight w:val="none"/>
          <w:lang w:val="en-US" w:eastAsia="zh-CN" w:bidi="ar-SA"/>
        </w:rPr>
        <w:t>条生产线，最终实现年产能</w:t>
      </w:r>
      <w:r>
        <w:rPr>
          <w:rFonts w:hint="eastAsia" w:cs="Times New Roman"/>
          <w:color w:val="auto"/>
          <w:kern w:val="2"/>
          <w:sz w:val="28"/>
          <w:szCs w:val="28"/>
          <w:highlight w:val="none"/>
          <w:lang w:val="en-US" w:eastAsia="zh-CN" w:bidi="ar-SA"/>
        </w:rPr>
        <w:t>10</w:t>
      </w:r>
      <w:r>
        <w:rPr>
          <w:rFonts w:hint="eastAsia" w:ascii="Times New Roman" w:hAnsi="Times New Roman" w:eastAsia="宋体" w:cs="Times New Roman"/>
          <w:color w:val="auto"/>
          <w:kern w:val="2"/>
          <w:sz w:val="28"/>
          <w:szCs w:val="28"/>
          <w:highlight w:val="none"/>
          <w:lang w:val="en-US" w:eastAsia="zh-CN" w:bidi="ar-SA"/>
        </w:rPr>
        <w:t>万吨的目标。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该项目的建设紧紧围绕清洁能源取暖、提高生物质利用率等建设目标，推进新能源项目，以市场需求为导向，以农业增效、农民增收、环境可持续发展为目的，立足当地资源优势，突出“生态、高效、优质、安全”的特色，改善农业生产基本条件，优化农业和农村经济结构，提高农业综合生产能力和综合效益，促进农村发展。</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3" w:name="heading_2"/>
      <w:bookmarkStart w:id="4" w:name="_Toc26020"/>
      <w:r>
        <w:rPr>
          <w:rFonts w:ascii="宋体" w:hAnsi="宋体" w:eastAsia="宋体" w:cs="宋体"/>
          <w:b/>
          <w:bCs/>
          <w:snapToGrid w:val="0"/>
          <w:color w:val="000000"/>
          <w:spacing w:val="4"/>
          <w:kern w:val="0"/>
          <w:sz w:val="30"/>
          <w:szCs w:val="30"/>
          <w:lang w:val="en-US" w:eastAsia="en-US" w:bidi="ar-SA"/>
        </w:rPr>
        <w:t>1.2 主管部门</w:t>
      </w:r>
      <w:bookmarkEnd w:id="3"/>
      <w:bookmarkEnd w:id="4"/>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平山县新能源服务中心</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5" w:name="heading_3"/>
      <w:bookmarkStart w:id="6" w:name="_Toc14312"/>
      <w:r>
        <w:rPr>
          <w:rFonts w:ascii="宋体" w:hAnsi="宋体" w:eastAsia="宋体" w:cs="宋体"/>
          <w:b/>
          <w:bCs/>
          <w:snapToGrid w:val="0"/>
          <w:color w:val="000000"/>
          <w:spacing w:val="4"/>
          <w:kern w:val="0"/>
          <w:sz w:val="30"/>
          <w:szCs w:val="30"/>
          <w:lang w:val="en-US" w:eastAsia="en-US" w:bidi="ar-SA"/>
        </w:rPr>
        <w:t>1.3 承担单位</w:t>
      </w:r>
      <w:bookmarkEnd w:id="5"/>
      <w:bookmarkEnd w:id="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平山县昌福生物质能源科技有限公司</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7" w:name="_Toc32596"/>
      <w:bookmarkStart w:id="8" w:name="heading_4"/>
      <w:r>
        <w:rPr>
          <w:rFonts w:ascii="宋体" w:hAnsi="宋体" w:eastAsia="宋体" w:cs="宋体"/>
          <w:b/>
          <w:bCs/>
          <w:snapToGrid w:val="0"/>
          <w:color w:val="000000"/>
          <w:spacing w:val="4"/>
          <w:kern w:val="0"/>
          <w:sz w:val="30"/>
          <w:szCs w:val="30"/>
          <w:lang w:val="en-US" w:eastAsia="en-US" w:bidi="ar-SA"/>
        </w:rPr>
        <w:t>1.4 建设地点</w:t>
      </w:r>
      <w:bookmarkEnd w:id="7"/>
      <w:bookmarkEnd w:id="8"/>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河北省石家庄市平山县东回舍镇东回舍村嘉阳物流园区18号</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9" w:name="heading_5"/>
      <w:bookmarkStart w:id="10" w:name="_Toc20114"/>
      <w:r>
        <w:rPr>
          <w:rFonts w:ascii="宋体" w:hAnsi="宋体" w:eastAsia="宋体" w:cs="宋体"/>
          <w:b/>
          <w:bCs/>
          <w:snapToGrid w:val="0"/>
          <w:color w:val="000000"/>
          <w:spacing w:val="4"/>
          <w:kern w:val="0"/>
          <w:sz w:val="30"/>
          <w:szCs w:val="30"/>
          <w:lang w:val="en-US" w:eastAsia="en-US" w:bidi="ar-SA"/>
        </w:rPr>
        <w:t>1.5 建设目标</w:t>
      </w:r>
      <w:bookmarkEnd w:id="9"/>
      <w:bookmarkEnd w:id="1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通过本项目的实施，总投资</w:t>
      </w:r>
      <w:r>
        <w:rPr>
          <w:rFonts w:hint="eastAsia" w:cs="Times New Roman"/>
          <w:color w:val="000000"/>
          <w:kern w:val="2"/>
          <w:sz w:val="28"/>
          <w:szCs w:val="28"/>
          <w:highlight w:val="none"/>
          <w:lang w:val="en-US" w:eastAsia="zh-CN" w:bidi="ar-SA"/>
        </w:rPr>
        <w:t>233.42</w:t>
      </w:r>
      <w:r>
        <w:rPr>
          <w:rFonts w:hint="eastAsia" w:ascii="Times New Roman" w:hAnsi="Times New Roman" w:eastAsia="宋体" w:cs="Times New Roman"/>
          <w:color w:val="000000"/>
          <w:kern w:val="2"/>
          <w:sz w:val="28"/>
          <w:szCs w:val="28"/>
          <w:highlight w:val="none"/>
          <w:lang w:val="en-US" w:eastAsia="zh-CN" w:bidi="ar-SA"/>
        </w:rPr>
        <w:t>万元，其中申请财政资金</w:t>
      </w:r>
      <w:r>
        <w:rPr>
          <w:rFonts w:hint="eastAsia" w:cs="Times New Roman"/>
          <w:color w:val="000000"/>
          <w:kern w:val="2"/>
          <w:sz w:val="28"/>
          <w:szCs w:val="28"/>
          <w:highlight w:val="none"/>
          <w:lang w:val="en-US" w:eastAsia="zh-CN" w:bidi="ar-SA"/>
        </w:rPr>
        <w:t>110</w:t>
      </w:r>
      <w:r>
        <w:rPr>
          <w:rFonts w:hint="eastAsia" w:ascii="Times New Roman" w:hAnsi="Times New Roman" w:eastAsia="宋体" w:cs="Times New Roman"/>
          <w:color w:val="000000"/>
          <w:kern w:val="2"/>
          <w:sz w:val="28"/>
          <w:szCs w:val="28"/>
          <w:highlight w:val="none"/>
          <w:lang w:val="en-US" w:eastAsia="zh-CN" w:bidi="ar-SA"/>
        </w:rPr>
        <w:t>万元，企业自筹资金</w:t>
      </w:r>
      <w:r>
        <w:rPr>
          <w:rFonts w:hint="eastAsia" w:cs="Times New Roman"/>
          <w:color w:val="000000"/>
          <w:kern w:val="2"/>
          <w:sz w:val="28"/>
          <w:szCs w:val="28"/>
          <w:highlight w:val="none"/>
          <w:lang w:val="en-US" w:eastAsia="zh-CN" w:bidi="ar-SA"/>
        </w:rPr>
        <w:t>123.42</w:t>
      </w:r>
      <w:r>
        <w:rPr>
          <w:rFonts w:hint="eastAsia" w:ascii="Times New Roman" w:hAnsi="Times New Roman" w:eastAsia="宋体" w:cs="Times New Roman"/>
          <w:color w:val="000000"/>
          <w:kern w:val="2"/>
          <w:sz w:val="28"/>
          <w:szCs w:val="28"/>
          <w:highlight w:val="none"/>
          <w:lang w:val="en-US" w:eastAsia="zh-CN" w:bidi="ar-SA"/>
        </w:rPr>
        <w:t>万元，用于加工设备购置、配套设施完善等。2026年完成</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条生物质制粒生产线建设及相关配套设施安装，实现年产能</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万吨以上，形成集农林废弃物收集、加工、储存、销售于一体的完整产业链，有效提升区域生物质资源资源化利用水平，推动清洁能源替代，促进生态环境改善和农民增收。</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highlight w:val="none"/>
          <w:lang w:val="en-US" w:eastAsia="en-US" w:bidi="ar-SA"/>
        </w:rPr>
      </w:pPr>
      <w:bookmarkStart w:id="11" w:name="_Toc4038"/>
      <w:bookmarkStart w:id="12" w:name="heading_6"/>
      <w:r>
        <w:rPr>
          <w:rFonts w:ascii="宋体" w:hAnsi="宋体" w:eastAsia="宋体" w:cs="宋体"/>
          <w:b/>
          <w:bCs/>
          <w:snapToGrid w:val="0"/>
          <w:color w:val="000000"/>
          <w:spacing w:val="4"/>
          <w:kern w:val="0"/>
          <w:sz w:val="30"/>
          <w:szCs w:val="30"/>
          <w:highlight w:val="none"/>
          <w:lang w:val="en-US" w:eastAsia="en-US" w:bidi="ar-SA"/>
        </w:rPr>
        <w:t>1.6 建设期限</w:t>
      </w:r>
      <w:bookmarkEnd w:id="11"/>
      <w:bookmarkEnd w:id="12"/>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项目总建设期限为</w:t>
      </w:r>
      <w:r>
        <w:rPr>
          <w:rFonts w:hint="eastAsia" w:cs="Times New Roman"/>
          <w:color w:val="000000"/>
          <w:kern w:val="2"/>
          <w:sz w:val="28"/>
          <w:szCs w:val="28"/>
          <w:highlight w:val="none"/>
          <w:lang w:val="en-US" w:eastAsia="zh-CN" w:bidi="ar-SA"/>
        </w:rPr>
        <w:t>12个月</w:t>
      </w:r>
      <w:r>
        <w:rPr>
          <w:rFonts w:hint="eastAsia" w:ascii="Times New Roman" w:hAnsi="Times New Roman" w:eastAsia="宋体" w:cs="Times New Roman"/>
          <w:color w:val="000000"/>
          <w:kern w:val="2"/>
          <w:sz w:val="28"/>
          <w:szCs w:val="28"/>
          <w:highlight w:val="none"/>
          <w:lang w:val="en-US" w:eastAsia="zh-CN" w:bidi="ar-SA"/>
        </w:rPr>
        <w:t>，分阶段实施：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2026年4月-2027年3月：完成</w:t>
      </w:r>
      <w:r>
        <w:rPr>
          <w:rFonts w:hint="eastAsia" w:cs="Times New Roman"/>
          <w:color w:val="000000"/>
          <w:kern w:val="2"/>
          <w:sz w:val="28"/>
          <w:szCs w:val="28"/>
          <w:highlight w:val="none"/>
          <w:lang w:val="en-US" w:eastAsia="zh-CN" w:bidi="ar-SA"/>
        </w:rPr>
        <w:t>1条生产线</w:t>
      </w:r>
      <w:r>
        <w:rPr>
          <w:rFonts w:hint="eastAsia" w:ascii="Times New Roman" w:hAnsi="Times New Roman" w:eastAsia="宋体" w:cs="Times New Roman"/>
          <w:color w:val="000000"/>
          <w:kern w:val="2"/>
          <w:sz w:val="28"/>
          <w:szCs w:val="28"/>
          <w:highlight w:val="none"/>
          <w:lang w:val="en-US" w:eastAsia="zh-CN" w:bidi="ar-SA"/>
        </w:rPr>
        <w:t>及配套设施建设，实现投产运营，年产能达到</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万吨。</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3" w:name="heading_7"/>
      <w:bookmarkStart w:id="14" w:name="_Toc8468"/>
      <w:r>
        <w:rPr>
          <w:rFonts w:ascii="宋体" w:hAnsi="宋体" w:eastAsia="宋体" w:cs="宋体"/>
          <w:b/>
          <w:bCs/>
          <w:snapToGrid w:val="0"/>
          <w:color w:val="000000"/>
          <w:spacing w:val="4"/>
          <w:kern w:val="0"/>
          <w:sz w:val="30"/>
          <w:szCs w:val="30"/>
          <w:lang w:val="en-US" w:eastAsia="en-US" w:bidi="ar-SA"/>
        </w:rPr>
        <w:t>1.7 编制依据</w:t>
      </w:r>
      <w:bookmarkEnd w:id="13"/>
      <w:bookmarkEnd w:id="14"/>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河北省财政厅关于省级大气污染防治专项资金预算相关通知；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《中华人民共和国环境保护法》；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《中华人民共和国可再生能源法》；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《农业建设项目经济评价方法》；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项目单位提供的有关基础资料、技术数据；</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设备厂家2025年最新报价；</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当地材料费、人工费资料及当地类似工程造价。</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5" w:name="heading_8"/>
      <w:bookmarkStart w:id="16" w:name="_Toc2395"/>
      <w:r>
        <w:rPr>
          <w:rFonts w:ascii="宋体" w:hAnsi="宋体" w:eastAsia="宋体" w:cs="宋体"/>
          <w:b/>
          <w:bCs/>
          <w:snapToGrid w:val="0"/>
          <w:color w:val="000000"/>
          <w:spacing w:val="4"/>
          <w:kern w:val="0"/>
          <w:sz w:val="30"/>
          <w:szCs w:val="30"/>
          <w:lang w:val="en-US" w:eastAsia="en-US" w:bidi="ar-SA"/>
        </w:rPr>
        <w:t>1.8 建设原则</w:t>
      </w:r>
      <w:bookmarkEnd w:id="15"/>
      <w:bookmarkEnd w:id="1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以减量化、无害化、资源化、综合利用为核心原则，针对项目区域农林废弃物特点，制定科学适宜的技术方案和工艺流程。</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技术工艺先进实用、简单合理，投资可控、操作方便可靠、运行费用低，确保项目长期稳定运营。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充分利用场地地形和周边资源条件，优化总平面布局，提高土地利用率，在满足工艺要求的前提下，实现生产设施功能最大化，营造整洁有序、安全环保的生产环境。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项目建设严格遵循“安全生产三同时”原则，确保建设、生产与安全设施同步设计、同步施工、同步投入使用。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坚持政府引导、企业主导、农户参与的原则，构建多方共赢的利益联结机制，促进项目社会效益、经济效益和环境效益协调统一。</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7" w:name="heading_9"/>
      <w:bookmarkStart w:id="18" w:name="_Toc27424"/>
      <w:r>
        <w:rPr>
          <w:rFonts w:ascii="宋体" w:hAnsi="宋体" w:eastAsia="宋体" w:cs="宋体"/>
          <w:b/>
          <w:bCs/>
          <w:snapToGrid w:val="0"/>
          <w:color w:val="000000"/>
          <w:spacing w:val="4"/>
          <w:kern w:val="0"/>
          <w:sz w:val="30"/>
          <w:szCs w:val="30"/>
          <w:lang w:val="en-US" w:eastAsia="en-US" w:bidi="ar-SA"/>
        </w:rPr>
        <w:t>1.9 建设内容及规模</w:t>
      </w:r>
      <w:bookmarkEnd w:id="17"/>
      <w:bookmarkEnd w:id="18"/>
    </w:p>
    <w:p>
      <w:pPr>
        <w:spacing w:before="260" w:after="120" w:line="288" w:lineRule="auto"/>
        <w:ind w:left="0"/>
        <w:jc w:val="left"/>
        <w:outlineLvl w:val="9"/>
      </w:pPr>
      <w:bookmarkStart w:id="19" w:name="heading_11"/>
      <w:r>
        <w:rPr>
          <w:rFonts w:ascii="Arial" w:hAnsi="Arial" w:eastAsia="等线" w:cs="Arial"/>
          <w:b/>
          <w:sz w:val="28"/>
        </w:rPr>
        <w:t>1.9.</w:t>
      </w:r>
      <w:r>
        <w:rPr>
          <w:rFonts w:hint="eastAsia" w:ascii="Arial" w:hAnsi="Arial" w:eastAsia="等线" w:cs="Arial"/>
          <w:b/>
          <w:sz w:val="28"/>
          <w:lang w:val="en-US" w:eastAsia="zh-CN"/>
        </w:rPr>
        <w:t>1</w:t>
      </w:r>
      <w:r>
        <w:rPr>
          <w:rFonts w:ascii="Arial" w:hAnsi="Arial" w:eastAsia="等线" w:cs="Arial"/>
          <w:b/>
          <w:sz w:val="28"/>
        </w:rPr>
        <w:t xml:space="preserve"> 设备购置及安装</w:t>
      </w:r>
      <w:bookmarkEnd w:id="19"/>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破碎工段：购置200KW破碎机组1台（参数：链板喂料，进料口尺寸1650*600mm，刀辊直径600mm，生产能力20-30t/h）、皮带输送带4条及配套配电柜等。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粉碎工段：购置315KW树枝粉碎机1台、2000型锯末滚筒筛料机1台、GXP100X130高效粉碎机1台、沙克龙除尘器2台、布袋除尘器2套及配套输送设备、配电柜等。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烘干工段：购置CHGΦ2.2×24×1型横向单筒烘干机1台、生物质热风炉1台、风机2台、电子卸料器2台及配套输送设备、燃烧室等。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制粒工段：购置280kw生物质颗粒机组</w:t>
      </w:r>
      <w:r>
        <w:rPr>
          <w:rFonts w:hint="eastAsia" w:cs="Times New Roman"/>
          <w:color w:val="000000"/>
          <w:kern w:val="2"/>
          <w:sz w:val="28"/>
          <w:szCs w:val="28"/>
          <w:lang w:val="en-US" w:eastAsia="zh-CN" w:bidi="ar-SA"/>
        </w:rPr>
        <w:t>2</w:t>
      </w:r>
      <w:r>
        <w:rPr>
          <w:rFonts w:hint="eastAsia" w:ascii="Times New Roman" w:hAnsi="Times New Roman" w:eastAsia="宋体" w:cs="Times New Roman"/>
          <w:color w:val="000000"/>
          <w:kern w:val="2"/>
          <w:sz w:val="28"/>
          <w:szCs w:val="28"/>
          <w:lang w:val="en-US" w:eastAsia="zh-CN" w:bidi="ar-SA"/>
        </w:rPr>
        <w:t>台、自动注油泵</w:t>
      </w:r>
      <w:r>
        <w:rPr>
          <w:rFonts w:hint="eastAsia" w:cs="Times New Roman"/>
          <w:color w:val="000000"/>
          <w:kern w:val="2"/>
          <w:sz w:val="28"/>
          <w:szCs w:val="28"/>
          <w:lang w:val="en-US" w:eastAsia="zh-CN" w:bidi="ar-SA"/>
        </w:rPr>
        <w:t>2</w:t>
      </w:r>
      <w:r>
        <w:rPr>
          <w:rFonts w:hint="eastAsia" w:ascii="Times New Roman" w:hAnsi="Times New Roman" w:eastAsia="宋体" w:cs="Times New Roman"/>
          <w:color w:val="000000"/>
          <w:kern w:val="2"/>
          <w:sz w:val="28"/>
          <w:szCs w:val="28"/>
          <w:lang w:val="en-US" w:eastAsia="zh-CN" w:bidi="ar-SA"/>
        </w:rPr>
        <w:t>台、4000型生物质冷却机组1台、高强除铁器（1000型）1台及配套布袋除尘器、风机等。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包装工段：购置5T-6T自动包装机组3台、电子计量包装机3台及配套输送设备。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配套设备：购置地泵1台、通风系统1套、消防设施1套、300Kva变压器及配电系统1套、环保除尘设备（DWL22型）1套、上料机（4*2KW）1台、出料机（5.5KW）1台、传送机（5.5KW）1台等。</w:t>
      </w:r>
    </w:p>
    <w:p>
      <w:pPr>
        <w:spacing w:before="260" w:after="120" w:line="288" w:lineRule="auto"/>
        <w:ind w:left="0"/>
        <w:jc w:val="left"/>
        <w:outlineLvl w:val="9"/>
      </w:pPr>
      <w:bookmarkStart w:id="20" w:name="heading_12"/>
      <w:r>
        <w:rPr>
          <w:rFonts w:ascii="Arial" w:hAnsi="Arial" w:eastAsia="等线" w:cs="Arial"/>
          <w:b/>
          <w:sz w:val="28"/>
        </w:rPr>
        <w:t>1.9.</w:t>
      </w:r>
      <w:r>
        <w:rPr>
          <w:rFonts w:hint="eastAsia" w:ascii="Arial" w:hAnsi="Arial" w:eastAsia="等线" w:cs="Arial"/>
          <w:b/>
          <w:sz w:val="28"/>
          <w:lang w:val="en-US" w:eastAsia="zh-CN"/>
        </w:rPr>
        <w:t>2</w:t>
      </w:r>
      <w:r>
        <w:rPr>
          <w:rFonts w:ascii="Arial" w:hAnsi="Arial" w:eastAsia="等线" w:cs="Arial"/>
          <w:b/>
          <w:sz w:val="28"/>
        </w:rPr>
        <w:t xml:space="preserve"> 配套设施建设</w:t>
      </w:r>
      <w:bookmarkEnd w:id="2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建设供配电系统，包括变压器、配电柜、电缆线路等，满足项目生产运营用电需求；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建设消防系统，配备消防栓、灭火器、消防水池等消防设施，满足消防安全要求；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安装视频监控系统、门禁系统等安防设施，保障厂区安全。</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21" w:name="heading_13"/>
      <w:bookmarkStart w:id="22" w:name="_Toc26738"/>
      <w:r>
        <w:rPr>
          <w:rFonts w:ascii="宋体" w:hAnsi="宋体" w:eastAsia="宋体" w:cs="宋体"/>
          <w:b/>
          <w:bCs/>
          <w:snapToGrid w:val="0"/>
          <w:color w:val="000000"/>
          <w:spacing w:val="4"/>
          <w:kern w:val="0"/>
          <w:sz w:val="30"/>
          <w:szCs w:val="30"/>
          <w:lang w:val="en-US" w:eastAsia="en-US" w:bidi="ar-SA"/>
        </w:rPr>
        <w:t>1.10 总概算</w:t>
      </w:r>
      <w:bookmarkEnd w:id="21"/>
      <w:bookmarkEnd w:id="22"/>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项目总投资</w:t>
      </w:r>
      <w:r>
        <w:rPr>
          <w:rFonts w:hint="eastAsia" w:cs="Times New Roman"/>
          <w:color w:val="000000"/>
          <w:kern w:val="2"/>
          <w:sz w:val="28"/>
          <w:szCs w:val="28"/>
          <w:lang w:val="en-US" w:eastAsia="zh-CN" w:bidi="ar-SA"/>
        </w:rPr>
        <w:t>233.42</w:t>
      </w:r>
      <w:r>
        <w:rPr>
          <w:rFonts w:hint="eastAsia" w:ascii="Times New Roman" w:hAnsi="Times New Roman" w:eastAsia="宋体" w:cs="Times New Roman"/>
          <w:color w:val="000000"/>
          <w:kern w:val="2"/>
          <w:sz w:val="28"/>
          <w:szCs w:val="28"/>
          <w:lang w:val="en-US" w:eastAsia="zh-CN" w:bidi="ar-SA"/>
        </w:rPr>
        <w:t>万元，其中：</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设备购置及安装费用</w:t>
      </w:r>
      <w:r>
        <w:rPr>
          <w:rFonts w:hint="eastAsia" w:cs="Times New Roman"/>
          <w:color w:val="000000"/>
          <w:kern w:val="2"/>
          <w:sz w:val="28"/>
          <w:szCs w:val="28"/>
          <w:lang w:val="en-US" w:eastAsia="zh-CN" w:bidi="ar-SA"/>
        </w:rPr>
        <w:t>222.42</w:t>
      </w:r>
      <w:r>
        <w:rPr>
          <w:rFonts w:hint="eastAsia" w:ascii="Times New Roman" w:hAnsi="Times New Roman" w:eastAsia="宋体" w:cs="Times New Roman"/>
          <w:color w:val="000000"/>
          <w:kern w:val="2"/>
          <w:sz w:val="28"/>
          <w:szCs w:val="28"/>
          <w:lang w:val="en-US" w:eastAsia="zh-CN" w:bidi="ar-SA"/>
        </w:rPr>
        <w:t>万元，占总投资的</w:t>
      </w:r>
      <w:r>
        <w:rPr>
          <w:rFonts w:hint="eastAsia" w:cs="Times New Roman"/>
          <w:color w:val="000000"/>
          <w:kern w:val="2"/>
          <w:sz w:val="28"/>
          <w:szCs w:val="28"/>
          <w:lang w:val="en-US" w:eastAsia="zh-CN" w:bidi="ar-SA"/>
        </w:rPr>
        <w:t>95.29</w:t>
      </w:r>
      <w:r>
        <w:rPr>
          <w:rFonts w:hint="eastAsia" w:ascii="Times New Roman" w:hAnsi="Times New Roman" w:eastAsia="宋体" w:cs="Times New Roman"/>
          <w:color w:val="000000"/>
          <w:kern w:val="2"/>
          <w:sz w:val="28"/>
          <w:szCs w:val="28"/>
          <w:lang w:val="en-US" w:eastAsia="zh-CN" w:bidi="ar-SA"/>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工程建设其他费用</w:t>
      </w:r>
      <w:r>
        <w:rPr>
          <w:rFonts w:hint="eastAsia" w:cs="Times New Roman"/>
          <w:color w:val="000000"/>
          <w:kern w:val="2"/>
          <w:sz w:val="28"/>
          <w:szCs w:val="28"/>
          <w:lang w:val="en-US" w:eastAsia="zh-CN" w:bidi="ar-SA"/>
        </w:rPr>
        <w:t>11</w:t>
      </w:r>
      <w:r>
        <w:rPr>
          <w:rFonts w:hint="eastAsia" w:ascii="Times New Roman" w:hAnsi="Times New Roman" w:eastAsia="宋体" w:cs="Times New Roman"/>
          <w:color w:val="000000"/>
          <w:kern w:val="2"/>
          <w:sz w:val="28"/>
          <w:szCs w:val="28"/>
          <w:lang w:val="en-US" w:eastAsia="zh-CN" w:bidi="ar-SA"/>
        </w:rPr>
        <w:t>万元，占总投资的</w:t>
      </w:r>
      <w:r>
        <w:rPr>
          <w:rFonts w:hint="eastAsia" w:cs="Times New Roman"/>
          <w:color w:val="000000"/>
          <w:kern w:val="2"/>
          <w:sz w:val="28"/>
          <w:szCs w:val="28"/>
          <w:lang w:val="en-US" w:eastAsia="zh-CN" w:bidi="ar-SA"/>
        </w:rPr>
        <w:t>4.7</w:t>
      </w:r>
      <w:r>
        <w:rPr>
          <w:rFonts w:hint="eastAsia" w:ascii="Times New Roman" w:hAnsi="Times New Roman" w:eastAsia="宋体" w:cs="Times New Roman"/>
          <w:color w:val="000000"/>
          <w:kern w:val="2"/>
          <w:sz w:val="28"/>
          <w:szCs w:val="28"/>
          <w:lang w:val="en-US" w:eastAsia="zh-CN" w:bidi="ar-SA"/>
        </w:rPr>
        <w:t>1%；</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23" w:name="_Toc28998"/>
      <w:bookmarkStart w:id="24" w:name="heading_14"/>
      <w:r>
        <w:rPr>
          <w:rFonts w:ascii="宋体" w:hAnsi="宋体" w:eastAsia="宋体" w:cs="宋体"/>
          <w:b/>
          <w:bCs/>
          <w:snapToGrid w:val="0"/>
          <w:color w:val="000000"/>
          <w:spacing w:val="4"/>
          <w:kern w:val="0"/>
          <w:sz w:val="30"/>
          <w:szCs w:val="30"/>
          <w:lang w:val="en-US" w:eastAsia="en-US" w:bidi="ar-SA"/>
        </w:rPr>
        <w:t>1.11 资金筹措</w:t>
      </w:r>
      <w:bookmarkEnd w:id="23"/>
      <w:bookmarkEnd w:id="24"/>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项目总投资</w:t>
      </w:r>
      <w:r>
        <w:rPr>
          <w:rFonts w:hint="eastAsia" w:cs="Times New Roman"/>
          <w:color w:val="000000"/>
          <w:kern w:val="2"/>
          <w:sz w:val="28"/>
          <w:szCs w:val="28"/>
          <w:lang w:val="en-US" w:eastAsia="zh-CN" w:bidi="ar-SA"/>
        </w:rPr>
        <w:t>233.42</w:t>
      </w:r>
      <w:r>
        <w:rPr>
          <w:rFonts w:hint="eastAsia" w:ascii="Times New Roman" w:hAnsi="Times New Roman" w:eastAsia="宋体" w:cs="Times New Roman"/>
          <w:color w:val="000000"/>
          <w:kern w:val="2"/>
          <w:sz w:val="28"/>
          <w:szCs w:val="28"/>
          <w:lang w:val="en-US" w:eastAsia="zh-CN" w:bidi="ar-SA"/>
        </w:rPr>
        <w:t>万元，资金来源如下：</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申请省级财政资金</w:t>
      </w:r>
      <w:r>
        <w:rPr>
          <w:rFonts w:hint="eastAsia" w:cs="Times New Roman"/>
          <w:color w:val="000000"/>
          <w:kern w:val="2"/>
          <w:sz w:val="28"/>
          <w:szCs w:val="28"/>
          <w:lang w:val="en-US" w:eastAsia="zh-CN" w:bidi="ar-SA"/>
        </w:rPr>
        <w:t>110</w:t>
      </w:r>
      <w:r>
        <w:rPr>
          <w:rFonts w:hint="eastAsia" w:ascii="Times New Roman" w:hAnsi="Times New Roman" w:eastAsia="宋体" w:cs="Times New Roman"/>
          <w:color w:val="000000"/>
          <w:kern w:val="2"/>
          <w:sz w:val="28"/>
          <w:szCs w:val="28"/>
          <w:lang w:val="en-US" w:eastAsia="zh-CN" w:bidi="ar-SA"/>
        </w:rPr>
        <w:t>万元，主要用于设备购置；</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企业自筹资金</w:t>
      </w:r>
      <w:r>
        <w:rPr>
          <w:rFonts w:hint="eastAsia" w:cs="Times New Roman"/>
          <w:color w:val="000000"/>
          <w:kern w:val="2"/>
          <w:sz w:val="28"/>
          <w:szCs w:val="28"/>
          <w:lang w:val="en-US" w:eastAsia="zh-CN" w:bidi="ar-SA"/>
        </w:rPr>
        <w:t>123.42</w:t>
      </w:r>
      <w:r>
        <w:rPr>
          <w:rFonts w:hint="eastAsia" w:ascii="Times New Roman" w:hAnsi="Times New Roman" w:eastAsia="宋体" w:cs="Times New Roman"/>
          <w:color w:val="000000"/>
          <w:kern w:val="2"/>
          <w:sz w:val="28"/>
          <w:szCs w:val="28"/>
          <w:lang w:val="en-US" w:eastAsia="zh-CN" w:bidi="ar-SA"/>
        </w:rPr>
        <w:t>万元，</w:t>
      </w:r>
      <w:r>
        <w:rPr>
          <w:rFonts w:hint="eastAsia" w:cs="Times New Roman"/>
          <w:color w:val="000000"/>
          <w:kern w:val="2"/>
          <w:sz w:val="28"/>
          <w:szCs w:val="28"/>
          <w:lang w:val="en-US" w:eastAsia="zh-CN" w:bidi="ar-SA"/>
        </w:rPr>
        <w:t>主要</w:t>
      </w:r>
      <w:r>
        <w:rPr>
          <w:rFonts w:hint="eastAsia" w:ascii="Times New Roman" w:hAnsi="Times New Roman" w:eastAsia="宋体" w:cs="Times New Roman"/>
          <w:color w:val="000000"/>
          <w:kern w:val="2"/>
          <w:sz w:val="28"/>
          <w:szCs w:val="28"/>
          <w:lang w:val="en-US" w:eastAsia="zh-CN" w:bidi="ar-SA"/>
        </w:rPr>
        <w:t>用于</w:t>
      </w:r>
      <w:r>
        <w:rPr>
          <w:rFonts w:hint="eastAsia" w:cs="Times New Roman"/>
          <w:color w:val="000000"/>
          <w:kern w:val="2"/>
          <w:sz w:val="28"/>
          <w:szCs w:val="28"/>
          <w:lang w:val="en-US" w:eastAsia="zh-CN" w:bidi="ar-SA"/>
        </w:rPr>
        <w:t>设备采购</w:t>
      </w:r>
      <w:r>
        <w:rPr>
          <w:rFonts w:hint="eastAsia" w:ascii="Times New Roman" w:hAnsi="Times New Roman" w:eastAsia="宋体" w:cs="Times New Roman"/>
          <w:color w:val="000000"/>
          <w:kern w:val="2"/>
          <w:sz w:val="28"/>
          <w:szCs w:val="28"/>
          <w:lang w:val="en-US" w:eastAsia="zh-CN" w:bidi="ar-SA"/>
        </w:rPr>
        <w:t>、</w:t>
      </w:r>
      <w:r>
        <w:rPr>
          <w:rFonts w:hint="eastAsia" w:cs="Times New Roman"/>
          <w:color w:val="000000"/>
          <w:kern w:val="2"/>
          <w:sz w:val="28"/>
          <w:szCs w:val="28"/>
          <w:lang w:val="en-US" w:eastAsia="zh-CN" w:bidi="ar-SA"/>
        </w:rPr>
        <w:t>地泵及附属设施、配电系统，消防系统</w:t>
      </w:r>
      <w:r>
        <w:rPr>
          <w:rFonts w:hint="eastAsia" w:ascii="Times New Roman" w:hAnsi="Times New Roman" w:eastAsia="宋体" w:cs="Times New Roman"/>
          <w:color w:val="000000"/>
          <w:kern w:val="2"/>
          <w:sz w:val="28"/>
          <w:szCs w:val="28"/>
          <w:lang w:val="en-US" w:eastAsia="zh-CN" w:bidi="ar-SA"/>
        </w:rPr>
        <w:t>及工程建设其他费用等，资金来源为企业自有资金。</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25" w:name="heading_15"/>
      <w:bookmarkStart w:id="26" w:name="_Toc23137"/>
      <w:r>
        <w:rPr>
          <w:rFonts w:ascii="宋体" w:hAnsi="宋体" w:eastAsia="宋体" w:cs="宋体"/>
          <w:b/>
          <w:bCs/>
          <w:snapToGrid w:val="0"/>
          <w:color w:val="000000"/>
          <w:spacing w:val="4"/>
          <w:kern w:val="0"/>
          <w:sz w:val="30"/>
          <w:szCs w:val="30"/>
          <w:lang w:val="en-US" w:eastAsia="en-US" w:bidi="ar-SA"/>
        </w:rPr>
        <w:t>1.12 效益分析</w:t>
      </w:r>
      <w:bookmarkEnd w:id="25"/>
      <w:bookmarkEnd w:id="26"/>
    </w:p>
    <w:p>
      <w:pPr>
        <w:spacing w:before="260" w:after="120" w:line="288" w:lineRule="auto"/>
        <w:ind w:left="0"/>
        <w:jc w:val="left"/>
        <w:outlineLvl w:val="9"/>
      </w:pPr>
      <w:bookmarkStart w:id="27" w:name="heading_16"/>
      <w:r>
        <w:rPr>
          <w:rFonts w:ascii="Arial" w:hAnsi="Arial" w:eastAsia="等线" w:cs="Arial"/>
          <w:b/>
          <w:sz w:val="28"/>
        </w:rPr>
        <w:t>1.12.1 环境效益</w:t>
      </w:r>
      <w:bookmarkEnd w:id="27"/>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项目的实施可有效提高农林废弃物资源化利用水平，年处理秸秆、树枝等农林废弃物约</w:t>
      </w:r>
      <w:r>
        <w:rPr>
          <w:rFonts w:hint="eastAsia" w:cs="Times New Roman"/>
          <w:color w:val="000000"/>
          <w:kern w:val="2"/>
          <w:sz w:val="28"/>
          <w:szCs w:val="28"/>
          <w:highlight w:val="none"/>
          <w:lang w:val="en-US" w:eastAsia="zh-CN" w:bidi="ar-SA"/>
        </w:rPr>
        <w:t>1.5</w:t>
      </w:r>
      <w:r>
        <w:rPr>
          <w:rFonts w:hint="eastAsia" w:ascii="Times New Roman" w:hAnsi="Times New Roman" w:eastAsia="宋体" w:cs="Times New Roman"/>
          <w:color w:val="000000"/>
          <w:kern w:val="2"/>
          <w:sz w:val="28"/>
          <w:szCs w:val="28"/>
          <w:highlight w:val="none"/>
          <w:lang w:val="en-US" w:eastAsia="zh-CN" w:bidi="ar-SA"/>
        </w:rPr>
        <w:t>万吨（第一阶段），减少秸秆焚烧带来的大气污染和火灾隐患。通过生物质成型燃料替代散煤，年可折合标准煤</w:t>
      </w:r>
      <w:r>
        <w:rPr>
          <w:rFonts w:hint="eastAsia" w:cs="Times New Roman"/>
          <w:color w:val="000000"/>
          <w:kern w:val="2"/>
          <w:sz w:val="28"/>
          <w:szCs w:val="28"/>
          <w:highlight w:val="none"/>
          <w:lang w:val="en-US" w:eastAsia="zh-CN" w:bidi="ar-SA"/>
        </w:rPr>
        <w:t>0.</w:t>
      </w:r>
      <w:r>
        <w:rPr>
          <w:rFonts w:hint="eastAsia" w:ascii="Times New Roman" w:hAnsi="Times New Roman" w:eastAsia="宋体" w:cs="Times New Roman"/>
          <w:color w:val="000000"/>
          <w:kern w:val="2"/>
          <w:sz w:val="28"/>
          <w:szCs w:val="28"/>
          <w:highlight w:val="none"/>
          <w:lang w:val="en-US" w:eastAsia="zh-CN" w:bidi="ar-SA"/>
        </w:rPr>
        <w:t>5万吨，减少CO₂排放</w:t>
      </w:r>
      <w:r>
        <w:rPr>
          <w:rFonts w:hint="eastAsia" w:cs="Times New Roman"/>
          <w:color w:val="000000"/>
          <w:kern w:val="2"/>
          <w:sz w:val="28"/>
          <w:szCs w:val="28"/>
          <w:highlight w:val="none"/>
          <w:lang w:val="en-US" w:eastAsia="zh-CN" w:bidi="ar-SA"/>
        </w:rPr>
        <w:t>1.2</w:t>
      </w:r>
      <w:r>
        <w:rPr>
          <w:rFonts w:hint="eastAsia" w:ascii="Times New Roman" w:hAnsi="Times New Roman" w:eastAsia="宋体" w:cs="Times New Roman"/>
          <w:color w:val="000000"/>
          <w:kern w:val="2"/>
          <w:sz w:val="28"/>
          <w:szCs w:val="28"/>
          <w:highlight w:val="none"/>
          <w:lang w:val="en-US" w:eastAsia="zh-CN" w:bidi="ar-SA"/>
        </w:rPr>
        <w:t>万吨，减少SO₂排放</w:t>
      </w:r>
      <w:r>
        <w:rPr>
          <w:rFonts w:hint="eastAsia" w:cs="Times New Roman"/>
          <w:color w:val="000000"/>
          <w:kern w:val="2"/>
          <w:sz w:val="28"/>
          <w:szCs w:val="28"/>
          <w:highlight w:val="none"/>
          <w:lang w:val="en-US" w:eastAsia="zh-CN" w:bidi="ar-SA"/>
        </w:rPr>
        <w:t>31</w:t>
      </w:r>
      <w:r>
        <w:rPr>
          <w:rFonts w:hint="eastAsia" w:ascii="Times New Roman" w:hAnsi="Times New Roman" w:eastAsia="宋体" w:cs="Times New Roman"/>
          <w:color w:val="000000"/>
          <w:kern w:val="2"/>
          <w:sz w:val="28"/>
          <w:szCs w:val="28"/>
          <w:highlight w:val="none"/>
          <w:lang w:val="en-US" w:eastAsia="zh-CN" w:bidi="ar-SA"/>
        </w:rPr>
        <w:t>吨，减少NOx排放</w:t>
      </w:r>
      <w:r>
        <w:rPr>
          <w:rFonts w:hint="eastAsia" w:cs="Times New Roman"/>
          <w:color w:val="000000"/>
          <w:kern w:val="2"/>
          <w:sz w:val="28"/>
          <w:szCs w:val="28"/>
          <w:highlight w:val="none"/>
          <w:lang w:val="en-US" w:eastAsia="zh-CN" w:bidi="ar-SA"/>
        </w:rPr>
        <w:t>14</w:t>
      </w:r>
      <w:r>
        <w:rPr>
          <w:rFonts w:hint="eastAsia" w:ascii="Times New Roman" w:hAnsi="Times New Roman" w:eastAsia="宋体" w:cs="Times New Roman"/>
          <w:color w:val="000000"/>
          <w:kern w:val="2"/>
          <w:sz w:val="28"/>
          <w:szCs w:val="28"/>
          <w:highlight w:val="none"/>
          <w:lang w:val="en-US" w:eastAsia="zh-CN" w:bidi="ar-SA"/>
        </w:rPr>
        <w:t>吨，减少颗粒物</w:t>
      </w:r>
      <w:r>
        <w:rPr>
          <w:rFonts w:hint="eastAsia" w:cs="Times New Roman"/>
          <w:color w:val="000000"/>
          <w:kern w:val="2"/>
          <w:sz w:val="28"/>
          <w:szCs w:val="28"/>
          <w:highlight w:val="none"/>
          <w:lang w:val="en-US" w:eastAsia="zh-CN" w:bidi="ar-SA"/>
        </w:rPr>
        <w:t>115</w:t>
      </w:r>
      <w:r>
        <w:rPr>
          <w:rFonts w:hint="eastAsia" w:ascii="Times New Roman" w:hAnsi="Times New Roman" w:eastAsia="宋体" w:cs="Times New Roman"/>
          <w:color w:val="000000"/>
          <w:kern w:val="2"/>
          <w:sz w:val="28"/>
          <w:szCs w:val="28"/>
          <w:highlight w:val="none"/>
          <w:lang w:val="en-US" w:eastAsia="zh-CN" w:bidi="ar-SA"/>
        </w:rPr>
        <w:t>吨，具有显著的节能减排效果，对保护和改善区域生态环境、保障国家能源安全、增加清洁能源供应渠道具有重要意义。</w:t>
      </w:r>
    </w:p>
    <w:p>
      <w:pPr>
        <w:spacing w:before="260" w:after="120" w:line="288" w:lineRule="auto"/>
        <w:ind w:left="0"/>
        <w:jc w:val="left"/>
        <w:outlineLvl w:val="9"/>
      </w:pPr>
      <w:bookmarkStart w:id="28" w:name="heading_17"/>
      <w:r>
        <w:rPr>
          <w:rFonts w:ascii="Arial" w:hAnsi="Arial" w:eastAsia="等线" w:cs="Arial"/>
          <w:b/>
          <w:sz w:val="28"/>
        </w:rPr>
        <w:t>1.12.2 社会效益</w:t>
      </w:r>
      <w:bookmarkEnd w:id="28"/>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项目建成后，可带动当地农村剩余劳动力就业，常年员工达到</w:t>
      </w:r>
      <w:r>
        <w:rPr>
          <w:rFonts w:hint="eastAsia" w:cs="Times New Roman"/>
          <w:color w:val="000000"/>
          <w:kern w:val="2"/>
          <w:sz w:val="28"/>
          <w:szCs w:val="28"/>
          <w:lang w:val="en-US" w:eastAsia="zh-CN" w:bidi="ar-SA"/>
        </w:rPr>
        <w:t>2</w:t>
      </w:r>
      <w:r>
        <w:rPr>
          <w:rFonts w:hint="eastAsia" w:ascii="Times New Roman" w:hAnsi="Times New Roman" w:eastAsia="宋体" w:cs="Times New Roman"/>
          <w:color w:val="000000"/>
          <w:kern w:val="2"/>
          <w:sz w:val="28"/>
          <w:szCs w:val="28"/>
          <w:lang w:val="en-US" w:eastAsia="zh-CN" w:bidi="ar-SA"/>
        </w:rPr>
        <w:t>0人，有效促进农村劳动力转移。通过农林废弃物回收利用，每吨秸秆可为农民增加收入100元，每吨林业废弃物可为农民增加收入120元。同时，项目可为区域农林废弃物处理提供可复制、可推广的模式，辐射带动种植、养殖、能源、运输等相关产业链发展，促进农村经济结构优化，推动乡村振兴和生态文明建设。</w:t>
      </w:r>
    </w:p>
    <w:p>
      <w:pPr>
        <w:spacing w:before="260" w:after="120" w:line="288" w:lineRule="auto"/>
        <w:ind w:left="0"/>
        <w:jc w:val="left"/>
        <w:outlineLvl w:val="9"/>
      </w:pPr>
      <w:bookmarkStart w:id="29" w:name="heading_18"/>
      <w:r>
        <w:rPr>
          <w:rFonts w:ascii="Arial" w:hAnsi="Arial" w:eastAsia="等线" w:cs="Arial"/>
          <w:b/>
          <w:sz w:val="28"/>
        </w:rPr>
        <w:t>1.12.3 经济效益</w:t>
      </w:r>
      <w:bookmarkEnd w:id="29"/>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本项目在整个计算期内采用预测的固定价格，计算产品原辅材料、燃料动力及人工费用及运费约为700元/吨，加工后的生物质燃料销售价格约为850元/吨，每吨净利润约为150元，年产</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万吨，可实现利润</w:t>
      </w:r>
      <w:r>
        <w:rPr>
          <w:rFonts w:hint="eastAsia" w:cs="Times New Roman"/>
          <w:color w:val="000000"/>
          <w:kern w:val="2"/>
          <w:sz w:val="28"/>
          <w:szCs w:val="28"/>
          <w:highlight w:val="none"/>
          <w:lang w:val="en-US" w:eastAsia="zh-CN" w:bidi="ar-SA"/>
        </w:rPr>
        <w:t>150</w:t>
      </w:r>
      <w:r>
        <w:rPr>
          <w:rFonts w:hint="eastAsia" w:ascii="Times New Roman" w:hAnsi="Times New Roman" w:eastAsia="宋体" w:cs="Times New Roman"/>
          <w:color w:val="000000"/>
          <w:kern w:val="2"/>
          <w:sz w:val="28"/>
          <w:szCs w:val="28"/>
          <w:highlight w:val="none"/>
          <w:lang w:val="en-US" w:eastAsia="zh-CN" w:bidi="ar-SA"/>
        </w:rPr>
        <w:t>万元。</w:t>
      </w:r>
    </w:p>
    <w:p>
      <w:pPr>
        <w:rPr>
          <w:rFonts w:ascii="Arial" w:hAnsi="Arial" w:eastAsia="等线" w:cs="Arial"/>
          <w:b/>
          <w:sz w:val="32"/>
          <w:highlight w:val="none"/>
        </w:rPr>
      </w:pPr>
      <w:bookmarkStart w:id="30" w:name="heading_19"/>
      <w:r>
        <w:rPr>
          <w:rFonts w:ascii="Arial" w:hAnsi="Arial" w:eastAsia="等线" w:cs="Arial"/>
          <w:b/>
          <w:sz w:val="32"/>
          <w:highlight w:val="none"/>
        </w:rPr>
        <w:br w:type="page"/>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31" w:name="_Toc17021"/>
      <w:r>
        <w:rPr>
          <w:rFonts w:ascii="宋体" w:hAnsi="宋体" w:eastAsia="宋体" w:cs="宋体"/>
          <w:b/>
          <w:bCs/>
          <w:snapToGrid w:val="0"/>
          <w:color w:val="000000"/>
          <w:spacing w:val="9"/>
          <w:kern w:val="0"/>
          <w:sz w:val="38"/>
          <w:szCs w:val="38"/>
          <w:lang w:val="en-US" w:eastAsia="en-US" w:bidi="ar-SA"/>
        </w:rPr>
        <w:t>第二章 项目建设背景及必要性</w:t>
      </w:r>
      <w:bookmarkEnd w:id="30"/>
      <w:bookmarkEnd w:id="31"/>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32" w:name="_Toc21837"/>
      <w:bookmarkStart w:id="33" w:name="heading_20"/>
      <w:r>
        <w:rPr>
          <w:rFonts w:ascii="宋体" w:hAnsi="宋体" w:eastAsia="宋体" w:cs="宋体"/>
          <w:b/>
          <w:bCs/>
          <w:snapToGrid w:val="0"/>
          <w:color w:val="000000"/>
          <w:spacing w:val="4"/>
          <w:kern w:val="0"/>
          <w:sz w:val="30"/>
          <w:szCs w:val="30"/>
          <w:lang w:val="en-US" w:eastAsia="en-US" w:bidi="ar-SA"/>
        </w:rPr>
        <w:t>2.1 项目建设背景</w:t>
      </w:r>
      <w:bookmarkEnd w:id="32"/>
      <w:bookmarkEnd w:id="33"/>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我国是农业大国，农业的可持续发展是整个国民经济可持续发展的根本保证和优先领域。在可持续发展战略的实施过程中，提高农业可持续发展能力，从根本上转变传统的农业生产方式，建立以资源高效利用和生态环境保护为基础的可持续农业生产体系，是优化农业经济结构和增加农民收入的重要手段，它不仅可以保护农业生态环境，而且能够促进农业经济的持续高效发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十四五”规划要求推动绿色发展，促进人与自然和谐共生，坚持绿水青山就是金山银山理念，坚持尊重自然、顺应自然、保护自然，坚持节约优先、保护优先、自然恢复为主，守住自然生态安全边界。深入实施可持续发展战略，完善生态文明领域统筹协调机制，构建生态文明体系，促进经济社会发展全面绿色转型，建设人与自然和谐共生的现代化。</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平山县持续加强农村生态文明建设，推进农村废弃物资源化利用，秸秆综合利用率保持在97%以上，大力推进农作物秸秆与畜禽粪污能源化利用，农村地区冬季清洁取暖实现全覆盖。但随着农业现代化进程加快，高标准农田建设推进，农林废弃物产生量不断增加，处理压力日益增大。本项目的建设，通过对农林废弃物的资源化利用，开发可再生能源，符合国家产业政策和区域发展规划，能够有效提升秸秆利用水平，为农业经济的持续高效发展起到示范作用。</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34" w:name="heading_21"/>
      <w:bookmarkStart w:id="35" w:name="_Toc23330"/>
      <w:r>
        <w:rPr>
          <w:rFonts w:ascii="宋体" w:hAnsi="宋体" w:eastAsia="宋体" w:cs="宋体"/>
          <w:b/>
          <w:bCs/>
          <w:snapToGrid w:val="0"/>
          <w:color w:val="000000"/>
          <w:spacing w:val="4"/>
          <w:kern w:val="0"/>
          <w:sz w:val="30"/>
          <w:szCs w:val="30"/>
          <w:lang w:val="en-US" w:eastAsia="en-US" w:bidi="ar-SA"/>
        </w:rPr>
        <w:t>2.2 项目建设的必要性</w:t>
      </w:r>
      <w:bookmarkEnd w:id="34"/>
      <w:bookmarkEnd w:id="35"/>
    </w:p>
    <w:p>
      <w:pPr>
        <w:spacing w:before="260" w:after="120" w:line="288" w:lineRule="auto"/>
        <w:ind w:left="0"/>
        <w:jc w:val="left"/>
        <w:outlineLvl w:val="9"/>
      </w:pPr>
      <w:bookmarkStart w:id="36" w:name="heading_22"/>
      <w:r>
        <w:rPr>
          <w:rFonts w:ascii="Arial" w:hAnsi="Arial" w:eastAsia="等线" w:cs="Arial"/>
          <w:b/>
          <w:sz w:val="28"/>
        </w:rPr>
        <w:t>2.2.1 符合国家产业发展政策要求</w:t>
      </w:r>
      <w:bookmarkEnd w:id="3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我国十分重视节能以及大气污染治理工作，相继出台了一系列政策促进生物质能源产业发展。《中共中央国务院关于积极发展现代农业扎实推进社会主义新农村建设的若干意见》提出：“以生物质能源、生物质产品和生物原料为主要内容的生物质产业，是拓展农业功能，促进资源利用的朝阳产业。”国家发展改革委发布的《产业结构调整指导目录（2019年本）》中将农林废弃物综合利用（固化成型燃料）列为鼓励类项目。国家财政部印发的《秸秆能源化利用补助资金管理暂行办法》，对符合支持条件的企业给予综合性补助。本项目的建设符合国家产业政策和发展规划，能够享受相关政策支持，具有良好的政策环境。</w:t>
      </w:r>
    </w:p>
    <w:p>
      <w:pPr>
        <w:spacing w:before="260" w:after="120" w:line="288" w:lineRule="auto"/>
        <w:ind w:left="0"/>
        <w:jc w:val="left"/>
        <w:outlineLvl w:val="9"/>
      </w:pPr>
      <w:bookmarkStart w:id="37" w:name="heading_23"/>
      <w:r>
        <w:rPr>
          <w:rFonts w:ascii="Arial" w:hAnsi="Arial" w:eastAsia="等线" w:cs="Arial"/>
          <w:b/>
          <w:sz w:val="28"/>
        </w:rPr>
        <w:t>2.2.2 顺应行业发展趋势</w:t>
      </w:r>
      <w:bookmarkEnd w:id="37"/>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物质能源作为可再生能源的重要组成部分，具有资源丰富、清洁环保、可再生等特点，是今后能源发展的重点领域之一。目前我国生物质能的利用主要集中在沼气、生物质发电和生物质液体燃料三个方面，而生物质固体成型燃料生产加工与利用研究虽已起步，但市场潜力巨大。生物质固体成型燃料储存、运输、使用方便，清洁环保，燃烧效率高，既可作为农村居民的炊事和取暖燃料，也可作为城市分散供热的燃料，燃烧后的炉灰还可作为有机肥料出售，产业发展前景广阔。本项目的建设顺应了可再生能源发展的行业趋势，能够填补区域生物质固体成型燃料生产的空白，满足市场需求。</w:t>
      </w:r>
    </w:p>
    <w:p>
      <w:pPr>
        <w:spacing w:before="260" w:after="120" w:line="288" w:lineRule="auto"/>
        <w:ind w:left="0"/>
        <w:jc w:val="left"/>
        <w:outlineLvl w:val="9"/>
      </w:pPr>
      <w:bookmarkStart w:id="38" w:name="heading_24"/>
      <w:r>
        <w:rPr>
          <w:rFonts w:ascii="Arial" w:hAnsi="Arial" w:eastAsia="等线" w:cs="Arial"/>
          <w:b/>
          <w:sz w:val="28"/>
        </w:rPr>
        <w:t>2.2.3 缓解区域农林废弃物处理压力</w:t>
      </w:r>
      <w:bookmarkEnd w:id="38"/>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平山县西依太行山，东临大平原，是农业大县，每年产生大量的农林废弃物。过去，部分农户采用焚烧或丢弃的方式处理秸秆等废弃物，不仅造成资源浪费，还污染大气环境，存在火灾隐患。随着农业现代化进程加快，农林废弃物处理问题变得不容忽视、迫在眉睫。本项目的建设，通过对秸秆、树枝等农林废弃物的集中资源化处理，生产清洁能源，有效解决了农户农林废弃物处理难题，将废弃物转化为有价值的产品，实现了变废为宝，对缓解区域环境压力、保障生态安全具有重要意义。</w:t>
      </w:r>
    </w:p>
    <w:p>
      <w:pPr>
        <w:spacing w:before="260" w:after="120" w:line="288" w:lineRule="auto"/>
        <w:ind w:left="0"/>
        <w:jc w:val="left"/>
        <w:outlineLvl w:val="9"/>
      </w:pPr>
      <w:bookmarkStart w:id="39" w:name="heading_25"/>
      <w:r>
        <w:rPr>
          <w:rFonts w:ascii="Arial" w:hAnsi="Arial" w:eastAsia="等线" w:cs="Arial"/>
          <w:b/>
          <w:sz w:val="28"/>
        </w:rPr>
        <w:t>2.2.4 促进区域经济社会发展</w:t>
      </w:r>
      <w:bookmarkEnd w:id="39"/>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的建设能够带动当地农民就业增收，通过农林废弃物回收、生产加工等环节，为周边农户提供就业岗位和收入来源。同时，项目可辐射带动种植、养殖、能源、运输等相关产业链发展，形成“五统一分三可控”的产业链发展模式（统一技术方案、技术指导、监督管理、投入品投放、产品回购，实施分户生产，实现产品质量可控、生产环境可控、农民收入可控），促进农村经济结构优化升级。此外，项目的实施能够推动区域清洁能源替代，降低化石能源依赖，改善农村能源消费结构，促进生态文明建设和乡村振兴战略实施。</w:t>
      </w:r>
    </w:p>
    <w:p>
      <w:pPr>
        <w:rPr>
          <w:rFonts w:ascii="Arial" w:hAnsi="Arial" w:eastAsia="等线" w:cs="Arial"/>
          <w:b/>
          <w:sz w:val="32"/>
        </w:rPr>
      </w:pPr>
      <w:bookmarkStart w:id="40" w:name="heading_26"/>
      <w:r>
        <w:rPr>
          <w:rFonts w:ascii="Arial" w:hAnsi="Arial" w:eastAsia="等线" w:cs="Arial"/>
          <w:b/>
          <w:sz w:val="32"/>
        </w:rPr>
        <w:br w:type="page"/>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41" w:name="_Toc28616"/>
      <w:r>
        <w:rPr>
          <w:rFonts w:ascii="宋体" w:hAnsi="宋体" w:eastAsia="宋体" w:cs="宋体"/>
          <w:b/>
          <w:bCs/>
          <w:snapToGrid w:val="0"/>
          <w:color w:val="000000"/>
          <w:spacing w:val="9"/>
          <w:kern w:val="0"/>
          <w:sz w:val="38"/>
          <w:szCs w:val="38"/>
          <w:lang w:val="en-US" w:eastAsia="en-US" w:bidi="ar-SA"/>
        </w:rPr>
        <w:t>第三章 建设条件与落实情况</w:t>
      </w:r>
      <w:bookmarkEnd w:id="40"/>
      <w:bookmarkEnd w:id="41"/>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42" w:name="heading_27"/>
      <w:bookmarkStart w:id="43" w:name="_Toc23702"/>
      <w:r>
        <w:rPr>
          <w:rFonts w:ascii="宋体" w:hAnsi="宋体" w:eastAsia="宋体" w:cs="宋体"/>
          <w:b/>
          <w:bCs/>
          <w:snapToGrid w:val="0"/>
          <w:color w:val="000000"/>
          <w:spacing w:val="4"/>
          <w:kern w:val="0"/>
          <w:sz w:val="30"/>
          <w:szCs w:val="30"/>
          <w:lang w:val="en-US" w:eastAsia="en-US" w:bidi="ar-SA"/>
        </w:rPr>
        <w:t>3.1 项目建设地点</w:t>
      </w:r>
      <w:bookmarkEnd w:id="42"/>
      <w:bookmarkEnd w:id="43"/>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本项目建设地点位于河北省石家庄市平山县东回舍镇东回舍村嘉阳物流园区18号。</w:t>
      </w:r>
    </w:p>
    <w:p>
      <w:pPr>
        <w:spacing w:before="91" w:line="227" w:lineRule="auto"/>
        <w:jc w:val="center"/>
        <w:rPr>
          <w:rFonts w:ascii="宋体" w:hAnsi="宋体" w:eastAsia="宋体" w:cs="宋体"/>
          <w:sz w:val="28"/>
          <w:szCs w:val="28"/>
        </w:rPr>
      </w:pPr>
      <w:r>
        <w:rPr>
          <w:rFonts w:ascii="宋体" w:hAnsi="宋体" w:eastAsia="宋体" w:cs="宋体"/>
          <w:b/>
          <w:bCs/>
          <w:spacing w:val="1"/>
          <w:sz w:val="28"/>
          <w:szCs w:val="28"/>
        </w:rPr>
        <w:t>图3-1项目地理位置图</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drawing>
          <wp:anchor distT="0" distB="0" distL="114300" distR="114300" simplePos="0" relativeHeight="251659264" behindDoc="0" locked="0" layoutInCell="1" allowOverlap="1">
            <wp:simplePos x="0" y="0"/>
            <wp:positionH relativeFrom="column">
              <wp:posOffset>561975</wp:posOffset>
            </wp:positionH>
            <wp:positionV relativeFrom="paragraph">
              <wp:posOffset>14605</wp:posOffset>
            </wp:positionV>
            <wp:extent cx="5271135" cy="4314825"/>
            <wp:effectExtent l="0" t="0" r="5715" b="9525"/>
            <wp:wrapTopAndBottom/>
            <wp:docPr id="1" name="图片 1" descr="192267bc-5fc1-4bb7-8992-41752d70a2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92267bc-5fc1-4bb7-8992-41752d70a2ab"/>
                    <pic:cNvPicPr>
                      <a:picLocks noChangeAspect="1"/>
                    </pic:cNvPicPr>
                  </pic:nvPicPr>
                  <pic:blipFill>
                    <a:blip r:embed="rId8"/>
                    <a:stretch>
                      <a:fillRect/>
                    </a:stretch>
                  </pic:blipFill>
                  <pic:spPr>
                    <a:xfrm>
                      <a:off x="0" y="0"/>
                      <a:ext cx="5271135" cy="4314825"/>
                    </a:xfrm>
                    <a:prstGeom prst="rect">
                      <a:avLst/>
                    </a:prstGeom>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平山县位于河北省西部、太行山东麓、滹沱河上游，距石家庄40公里，北京300公里，东临鹿泉市，南接井陉县，北靠灵寿、阜平，西与山西省接壤，交通便利，区位优势明显。</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东回舍镇位于平山县东部，是平山县的工业重镇和交通枢纽，国道、省道穿境而过，距京深、石太高速公路较近，距石家庄机场50公里，交通四通八达，便于原料运输和产品销售。项目区周边农作物种植广泛，林业资源丰富，年可产生大量秸秆、树枝等农林废弃物，原料供应充足。</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44" w:name="heading_28"/>
      <w:bookmarkStart w:id="45" w:name="_Toc32348"/>
      <w:r>
        <w:rPr>
          <w:rFonts w:ascii="宋体" w:hAnsi="宋体" w:eastAsia="宋体" w:cs="宋体"/>
          <w:b/>
          <w:bCs/>
          <w:snapToGrid w:val="0"/>
          <w:color w:val="000000"/>
          <w:spacing w:val="4"/>
          <w:kern w:val="0"/>
          <w:sz w:val="30"/>
          <w:szCs w:val="30"/>
          <w:lang w:val="en-US" w:eastAsia="en-US" w:bidi="ar-SA"/>
        </w:rPr>
        <w:t>3.2 自然条件</w:t>
      </w:r>
      <w:bookmarkEnd w:id="44"/>
      <w:bookmarkEnd w:id="45"/>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平山县属暖温带半湿润季风大陆性气候，四季分明，光照充足，降水量时空分布不均，夏暑冬寒，温差较大。春季少雨干旱，夏季炎热多雨，秋季天高气爽，冬季地冻天寒。年平均气温12.7℃，年极端高温40.8℃，年极端低温-16.4℃，1月份平均气温-3℃，7月份平均气温26℃，适宜项目建设和生产运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项目区地形平坦，地势开阔，地貌属平原类型，地质条件良好，土壤承载力能够满足厂房、设备基础等建设要求。项目区无不良地质现象，地震烈度为7度，符合建筑抗震设计要求。</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46" w:name="_Toc26405"/>
      <w:bookmarkStart w:id="47" w:name="heading_29"/>
      <w:r>
        <w:rPr>
          <w:rFonts w:ascii="宋体" w:hAnsi="宋体" w:eastAsia="宋体" w:cs="宋体"/>
          <w:b/>
          <w:bCs/>
          <w:snapToGrid w:val="0"/>
          <w:color w:val="000000"/>
          <w:spacing w:val="4"/>
          <w:kern w:val="0"/>
          <w:sz w:val="30"/>
          <w:szCs w:val="30"/>
          <w:lang w:val="en-US" w:eastAsia="en-US" w:bidi="ar-SA"/>
        </w:rPr>
        <w:t>3.3 施工条件</w:t>
      </w:r>
      <w:bookmarkEnd w:id="46"/>
      <w:bookmarkEnd w:id="47"/>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建设地点原为工业用地，非基本农田及一般农田范围，土地平整工作已基本完成，具备施工条件。项目区可接入周边村庄电网系统，通过新建变压器及配电系统，能够满足项目生产运营用电需求；生活用水和生产用水通过自打井方式解决，已完成水井选址，水资源充足。</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Theme="minorHAnsi" w:hAnsiTheme="minorHAnsi" w:eastAsiaTheme="minorEastAsia" w:cstheme="minorBidi"/>
          <w:snapToGrid w:val="0"/>
          <w:color w:val="000000"/>
          <w:kern w:val="0"/>
        </w:rPr>
      </w:pPr>
      <w:r>
        <w:rPr>
          <w:rFonts w:hint="eastAsia" w:ascii="Times New Roman" w:hAnsi="Times New Roman" w:eastAsia="宋体" w:cs="Times New Roman"/>
          <w:color w:val="000000"/>
          <w:kern w:val="2"/>
          <w:sz w:val="28"/>
          <w:szCs w:val="28"/>
          <w:lang w:val="en-US" w:eastAsia="zh-CN" w:bidi="ar-SA"/>
        </w:rPr>
        <w:t>项目建设地点周边交通便利，建筑材料、设备运输方便；当地劳动力资源丰富，能够满足项目施工和生产运营的劳动力需求。项目建设符合当地乡镇土地利用总体规划要求，已取得相关部门的规划许可和用地审批手续。</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48" w:name="_Toc28269"/>
      <w:bookmarkStart w:id="49" w:name="heading_30"/>
      <w:r>
        <w:rPr>
          <w:rFonts w:ascii="宋体" w:hAnsi="宋体" w:eastAsia="宋体" w:cs="宋体"/>
          <w:b/>
          <w:bCs/>
          <w:snapToGrid w:val="0"/>
          <w:color w:val="000000"/>
          <w:spacing w:val="4"/>
          <w:kern w:val="0"/>
          <w:sz w:val="30"/>
          <w:szCs w:val="30"/>
          <w:lang w:val="en-US" w:eastAsia="en-US" w:bidi="ar-SA"/>
        </w:rPr>
        <w:t>3.4 政策支持条件</w:t>
      </w:r>
      <w:bookmarkEnd w:id="48"/>
      <w:bookmarkEnd w:id="49"/>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平山县政府高度重视新能源开发利用和农林废弃物资源化利用工作，出台了一系列扶持政策，为项目建设提供了良好的政策环境。项目主管部门平山县新能源服务中心作为全县农村能源科学利用、技术推广的专业指导单位，将为项目提供技术支持、政策咨询和协调服务。同时，项目符合省级大气污染防治专项资金支持范围，能够获得相应的财政资金补贴，为项目建设提供资金保障。</w:t>
      </w:r>
    </w:p>
    <w:p>
      <w:pPr>
        <w:rPr>
          <w:rFonts w:ascii="Arial" w:hAnsi="Arial" w:eastAsia="等线" w:cs="Arial"/>
          <w:b/>
          <w:sz w:val="32"/>
        </w:rPr>
      </w:pPr>
      <w:bookmarkStart w:id="50" w:name="heading_31"/>
      <w:r>
        <w:rPr>
          <w:rFonts w:ascii="Arial" w:hAnsi="Arial" w:eastAsia="等线" w:cs="Arial"/>
          <w:b/>
          <w:sz w:val="32"/>
        </w:rPr>
        <w:br w:type="page"/>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51" w:name="_Toc20449"/>
      <w:r>
        <w:rPr>
          <w:rFonts w:ascii="宋体" w:hAnsi="宋体" w:eastAsia="宋体" w:cs="宋体"/>
          <w:b/>
          <w:bCs/>
          <w:snapToGrid w:val="0"/>
          <w:color w:val="000000"/>
          <w:spacing w:val="9"/>
          <w:kern w:val="0"/>
          <w:sz w:val="38"/>
          <w:szCs w:val="38"/>
          <w:lang w:val="en-US" w:eastAsia="en-US" w:bidi="ar-SA"/>
        </w:rPr>
        <w:t>第四章 工艺设备与工程方案</w:t>
      </w:r>
      <w:bookmarkEnd w:id="50"/>
      <w:bookmarkEnd w:id="51"/>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52" w:name="_Toc20751"/>
      <w:bookmarkStart w:id="53" w:name="heading_32"/>
      <w:r>
        <w:rPr>
          <w:rFonts w:ascii="宋体" w:hAnsi="宋体" w:eastAsia="宋体" w:cs="宋体"/>
          <w:b/>
          <w:bCs/>
          <w:snapToGrid w:val="0"/>
          <w:color w:val="000000"/>
          <w:spacing w:val="4"/>
          <w:kern w:val="0"/>
          <w:sz w:val="30"/>
          <w:szCs w:val="30"/>
          <w:lang w:val="en-US" w:eastAsia="en-US" w:bidi="ar-SA"/>
        </w:rPr>
        <w:t>4.1 工艺方案</w:t>
      </w:r>
      <w:bookmarkEnd w:id="52"/>
      <w:bookmarkEnd w:id="53"/>
    </w:p>
    <w:p>
      <w:pPr>
        <w:spacing w:before="260" w:after="120" w:line="288" w:lineRule="auto"/>
        <w:ind w:left="0"/>
        <w:jc w:val="left"/>
        <w:outlineLvl w:val="9"/>
      </w:pPr>
      <w:bookmarkStart w:id="54" w:name="heading_33"/>
      <w:r>
        <w:rPr>
          <w:rFonts w:ascii="Arial" w:hAnsi="Arial" w:eastAsia="等线" w:cs="Arial"/>
          <w:b/>
          <w:sz w:val="28"/>
        </w:rPr>
        <w:t>4.1.1 工艺设计原则</w:t>
      </w:r>
      <w:bookmarkEnd w:id="54"/>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以减量化、无害化、资源化、综合利用为核心，针对农林废弃物特点，制定科学合理的技术方案和工艺流程，提高资源利用效率。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技术工艺先进实用、成熟可靠，操作方便、运行费用低，确保产品质量稳定，满足市场需求。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注重节能减排和环境保护，采用先进的除尘、降噪、污水处理等环保技术和设备，确保各项污染物达标排放。</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以树枝破碎、粉碎、制粒技术为纽带，实现能量多级利用、物质良性循环，形成无污染的可持续发展的农业生态系统。</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工艺流程布局合理，物流顺畅，减少物料运输距离和损耗，提高生产效率。</w:t>
      </w:r>
    </w:p>
    <w:p>
      <w:pPr>
        <w:spacing w:before="260" w:after="120" w:line="288" w:lineRule="auto"/>
        <w:ind w:left="0"/>
        <w:jc w:val="left"/>
        <w:outlineLvl w:val="9"/>
      </w:pPr>
      <w:bookmarkStart w:id="55" w:name="heading_34"/>
      <w:r>
        <w:rPr>
          <w:rFonts w:ascii="Arial" w:hAnsi="Arial" w:eastAsia="等线" w:cs="Arial"/>
          <w:b/>
          <w:sz w:val="28"/>
        </w:rPr>
        <w:t>4.1.2 设计规模</w:t>
      </w:r>
      <w:bookmarkEnd w:id="55"/>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新建生物质制粒生产线</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条，设计年产能</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万吨；</w:t>
      </w:r>
    </w:p>
    <w:p>
      <w:pPr>
        <w:spacing w:before="260" w:after="120" w:line="288" w:lineRule="auto"/>
        <w:ind w:left="0"/>
        <w:jc w:val="left"/>
        <w:outlineLvl w:val="9"/>
      </w:pPr>
      <w:bookmarkStart w:id="56" w:name="heading_35"/>
      <w:r>
        <w:rPr>
          <w:rFonts w:ascii="Arial" w:hAnsi="Arial" w:eastAsia="等线" w:cs="Arial"/>
          <w:b/>
          <w:sz w:val="28"/>
        </w:rPr>
        <w:t>4.1.3 工艺特点</w:t>
      </w:r>
      <w:bookmarkEnd w:id="5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依靠现代化的设备组成完善的处理系统，利用林业废弃物和农作物秸秆通过破碎、粉碎、烘干、制粒、冷却、包装等一系列处理，产出符合要求的生物质颗粒燃料，供给周围电厂、化工厂、农业园区及农户使用。通过自动化的生产和除尘系统，降低污染物的排放，减少噪音、粉尘、废水等的排放，完全达到或超过国家标准，消除对周围环境的污染。</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物质颗粒燃料具有运输存储方便、挥发分高、固定碳含量高、S含量低、二氧化碳零排放、二氧化硫低排放和可再生等特点，可广泛应用于农村炊事采暖、城镇居民取暖、洗浴和城镇区域供暖，是一种清洁环保、可再生能源。</w:t>
      </w:r>
    </w:p>
    <w:p>
      <w:pPr>
        <w:spacing w:before="260" w:after="120" w:line="288" w:lineRule="auto"/>
        <w:ind w:left="0"/>
        <w:jc w:val="left"/>
        <w:outlineLvl w:val="9"/>
      </w:pPr>
      <w:bookmarkStart w:id="57" w:name="heading_36"/>
      <w:r>
        <w:rPr>
          <w:rFonts w:ascii="Arial" w:hAnsi="Arial" w:eastAsia="等线" w:cs="Arial"/>
          <w:b/>
          <w:sz w:val="28"/>
        </w:rPr>
        <w:t>4.1.4 工艺路线</w:t>
      </w:r>
      <w:bookmarkEnd w:id="57"/>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原料收集与预处理：通过与周边农户、种植合作社签订回收协议，收集秸秆、树枝等农林废弃物，运输至项目原料堆场进行晾晒，使原料水分含量降至30%左右。</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破碎工段：用抓料机将原料送入200KW破碎机进行粗破，切碎后的物料通过底部输送设备排出进入下一工序。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粉碎工段：破碎后的物料通过皮带输送机送入315KW树枝粉碎机进行进一步粉碎，再经锯末滚筒筛料机筛选后，送入高效粉碎机进行细粉碎，粉碎过程中产生的粉尘通过沙克龙除尘器和布袋除尘器进行处理。粉碎后的物料通过输送设备送入中转料仓缓存。</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烘干工段：中转料仓内的物料通过输送设备送入横向单筒烘干机，利用生物质热风炉提供的热风进行烘干，将物料水分含量降至20%左右（造粒所需水分），烘干后的物料通过输送设备送入制粒工段中转料仓。</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制粒工段：烘干后的物料通过绞龙输送机自动变频喂料给生物质颗粒机，压制成直径为8mm的颗粒，制粒过程中产生的高温蒸发水分通过除蒸汽系统抽除。颗粒经生物质冷却机组冷却后，通过高强除铁器去除杂质。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包装工段：冷却后的颗粒通过输送设备送入自动包装机组进行计量包装，包装后的成品送入成品仓库存储待售。</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废弃物处理：生产过程中产生的粉尘通过除尘设备收集处理，可回收利用；产生的少量废水经污水处理设施处理后达标排放或用于厂区绿化。</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lang w:val="en-US" w:eastAsia="en-US"/>
        </w:rPr>
      </w:pPr>
      <w:r>
        <w:rPr>
          <w:rFonts w:hint="eastAsia" w:ascii="Times New Roman" w:hAnsi="Times New Roman" w:eastAsia="宋体" w:cs="Times New Roman"/>
          <w:color w:val="000000"/>
          <w:kern w:val="2"/>
          <w:sz w:val="28"/>
          <w:szCs w:val="28"/>
          <w:lang w:val="en-US" w:eastAsia="zh-CN" w:bidi="ar-SA"/>
        </w:rPr>
        <w:t>工艺流程图如下：</w:t>
      </w:r>
      <w:bookmarkStart w:id="58" w:name="heading_37"/>
      <w:bookmarkStart w:id="59" w:name="_Toc31379"/>
      <w:r>
        <w:rPr>
          <w:position w:val="-93"/>
        </w:rPr>
        <w:drawing>
          <wp:anchor distT="0" distB="0" distL="0" distR="0" simplePos="0" relativeHeight="251660288" behindDoc="0" locked="0" layoutInCell="1" allowOverlap="1">
            <wp:simplePos x="0" y="0"/>
            <wp:positionH relativeFrom="column">
              <wp:posOffset>-228600</wp:posOffset>
            </wp:positionH>
            <wp:positionV relativeFrom="paragraph">
              <wp:posOffset>31750</wp:posOffset>
            </wp:positionV>
            <wp:extent cx="6405880" cy="2116455"/>
            <wp:effectExtent l="0" t="0" r="13970" b="17145"/>
            <wp:wrapTopAndBottom/>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9"/>
                    <a:stretch>
                      <a:fillRect/>
                    </a:stretch>
                  </pic:blipFill>
                  <pic:spPr>
                    <a:xfrm>
                      <a:off x="0" y="0"/>
                      <a:ext cx="6405880" cy="2116455"/>
                    </a:xfrm>
                    <a:prstGeom prst="rect">
                      <a:avLst/>
                    </a:prstGeom>
                  </pic:spPr>
                </pic:pic>
              </a:graphicData>
            </a:graphic>
          </wp:anchor>
        </w:drawing>
      </w:r>
      <w:bookmarkEnd w:id="58"/>
      <w:bookmarkEnd w:id="59"/>
    </w:p>
    <w:p>
      <w:pPr>
        <w:spacing w:before="260" w:after="120" w:line="288" w:lineRule="auto"/>
        <w:ind w:left="0"/>
        <w:jc w:val="left"/>
        <w:outlineLvl w:val="9"/>
        <w:rPr>
          <w:rFonts w:hint="eastAsia" w:ascii="Arial" w:hAnsi="Arial" w:eastAsia="等线" w:cs="Arial"/>
          <w:b/>
          <w:sz w:val="28"/>
          <w:lang w:val="en-US" w:eastAsia="zh-CN"/>
        </w:rPr>
      </w:pPr>
      <w:bookmarkStart w:id="60" w:name="heading_40"/>
      <w:bookmarkStart w:id="61" w:name="heading_41"/>
      <w:r>
        <w:rPr>
          <w:rFonts w:hint="eastAsia" w:ascii="Arial" w:hAnsi="Arial" w:eastAsia="等线" w:cs="Arial"/>
          <w:b/>
          <w:sz w:val="28"/>
          <w:lang w:val="en-US" w:eastAsia="zh-CN"/>
        </w:rPr>
        <w:t>4.2工程方案</w:t>
      </w:r>
    </w:p>
    <w:p>
      <w:pPr>
        <w:spacing w:before="260" w:after="120" w:line="288" w:lineRule="auto"/>
        <w:ind w:left="0"/>
        <w:jc w:val="left"/>
        <w:outlineLvl w:val="9"/>
      </w:pPr>
      <w:r>
        <w:rPr>
          <w:rFonts w:ascii="Arial" w:hAnsi="Arial" w:eastAsia="等线" w:cs="Arial"/>
          <w:b/>
          <w:sz w:val="28"/>
        </w:rPr>
        <w:t>4.2.</w:t>
      </w:r>
      <w:r>
        <w:rPr>
          <w:rFonts w:hint="eastAsia" w:ascii="Arial" w:hAnsi="Arial" w:eastAsia="等线" w:cs="Arial"/>
          <w:b/>
          <w:sz w:val="28"/>
          <w:lang w:val="en-US" w:eastAsia="zh-CN"/>
        </w:rPr>
        <w:t>1</w:t>
      </w:r>
      <w:r>
        <w:rPr>
          <w:rFonts w:ascii="Arial" w:hAnsi="Arial" w:eastAsia="等线" w:cs="Arial"/>
          <w:b/>
          <w:sz w:val="28"/>
        </w:rPr>
        <w:t xml:space="preserve"> 供配电设计</w:t>
      </w:r>
      <w:bookmarkEnd w:id="6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用电负荷：项目总用电负荷约1500Kva，其中生产设备用电负荷1400Kva，辅助设施及办公用电负荷100Kva。生产设备用电负荷为二级负荷，其余用电负荷为三级负荷。</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电源及配电系统：厂区电源引自周边电网，建设300Kva箱式变压器1台，经变压器降压后送至配电柜，再通过电缆线路分配至各用电设备。厂区供配电采用380V低压配电，配电柜上安装电压表、电流表和电度表，监测整个站区的用电情况。</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防雷接地：为防止电气设备的过电压及雷电侵袭，装设过电压保护装置。在土建施工时，将构筑物连成一体形成环型接地网，在控制室周围做接地极；防雷接地与强、弱电接地共用接地极，要求接地电阻不大于4欧姆，实测不满足要求时，增设接地极。防静电接地利用建筑共用接地装置进行接地，将有防静电接地要求的工艺设备、装置等进行接地。</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照明设计：厂房内采用高效节能灯具，按生产区域合理布置，保证生产操作所需照度；办公及辅助用房采用荧光灯和LED灯，营造舒适的办公环境；厂区道路及场地采用太阳能路灯照明，节约能源。</w:t>
      </w:r>
    </w:p>
    <w:p>
      <w:pPr>
        <w:spacing w:before="260" w:after="120" w:line="288" w:lineRule="auto"/>
        <w:ind w:left="0"/>
        <w:jc w:val="left"/>
        <w:outlineLvl w:val="9"/>
      </w:pPr>
      <w:r>
        <w:rPr>
          <w:rFonts w:ascii="Arial" w:hAnsi="Arial" w:eastAsia="等线" w:cs="Arial"/>
          <w:b/>
          <w:sz w:val="28"/>
        </w:rPr>
        <w:t>4.2.</w:t>
      </w:r>
      <w:r>
        <w:rPr>
          <w:rFonts w:hint="eastAsia" w:ascii="Arial" w:hAnsi="Arial" w:eastAsia="等线" w:cs="Arial"/>
          <w:b/>
          <w:sz w:val="28"/>
          <w:lang w:val="en-US" w:eastAsia="zh-CN"/>
        </w:rPr>
        <w:t>2</w:t>
      </w:r>
      <w:r>
        <w:rPr>
          <w:rFonts w:ascii="Arial" w:hAnsi="Arial" w:eastAsia="等线" w:cs="Arial"/>
          <w:b/>
          <w:sz w:val="28"/>
        </w:rPr>
        <w:t xml:space="preserve"> 给排水设计</w:t>
      </w:r>
      <w:bookmarkEnd w:id="61"/>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供水系统：项目自打井1眼，井深约100米，出水量约50m³/d，配套建设50m³蓄水池1座，通过供水管网将水送至各用水点。供水系统采用变频调速装置，根据设备实际用水需求改变电机转速，提高运行效率，节约能源。</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排水系统：厂区排水采用雨污分流制，雨水通过雨水管网收集后排出厂区；生产生活污水经化粪池处理后，进入污水处理设施进行深度处理，处理达标后用于厂区绿化或排入周边水体。</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节水措施：采用管内壁光滑、阻力小的给水管材，合理选用管径以减少管道的阻力损失和水泵扬程；所有供水、用水设备按时检修，避免出现跑、冒、滴、漏现象，节约水资源。</w:t>
      </w:r>
    </w:p>
    <w:p>
      <w:pPr>
        <w:keepNext w:val="0"/>
        <w:keepLines w:val="0"/>
        <w:pageBreakBefore w:val="0"/>
        <w:widowControl w:val="0"/>
        <w:kinsoku/>
        <w:wordWrap/>
        <w:overflowPunct/>
        <w:topLinePunct w:val="0"/>
        <w:autoSpaceDE/>
        <w:autoSpaceDN/>
        <w:bidi w:val="0"/>
        <w:adjustRightInd/>
        <w:snapToGrid/>
        <w:spacing w:before="140" w:after="120" w:line="288" w:lineRule="auto"/>
        <w:ind w:left="0"/>
        <w:jc w:val="left"/>
        <w:textAlignment w:val="auto"/>
        <w:outlineLvl w:val="9"/>
      </w:pPr>
      <w:bookmarkStart w:id="62" w:name="heading_42"/>
      <w:r>
        <w:rPr>
          <w:rFonts w:ascii="Arial" w:hAnsi="Arial" w:eastAsia="等线" w:cs="Arial"/>
          <w:b/>
          <w:sz w:val="28"/>
        </w:rPr>
        <w:t>4.2.</w:t>
      </w:r>
      <w:r>
        <w:rPr>
          <w:rFonts w:hint="eastAsia" w:ascii="Arial" w:hAnsi="Arial" w:eastAsia="等线" w:cs="Arial"/>
          <w:b/>
          <w:sz w:val="28"/>
          <w:lang w:val="en-US" w:eastAsia="zh-CN"/>
        </w:rPr>
        <w:t>3</w:t>
      </w:r>
      <w:r>
        <w:rPr>
          <w:rFonts w:ascii="Arial" w:hAnsi="Arial" w:eastAsia="等线" w:cs="Arial"/>
          <w:b/>
          <w:sz w:val="28"/>
        </w:rPr>
        <w:t xml:space="preserve"> 消防设计</w:t>
      </w:r>
      <w:bookmarkEnd w:id="62"/>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消防水源：采用自打井供水和消防水池蓄水相结合的方式，建设100m³消防水池1座，保证消防用水需求。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消防系统：厂区内设置消防栓，间距不大于120米，保护半径不大于150米；生产厂房、仓库、办公用房等场所按要求配备灭火器，消防栓和灭火器布置合理，便于取用。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消防通道：厂区内设置环形消防通道，宽度不小于4米，保证消防车通行顺畅；厂房和仓库的安全出口数量、疏散距离等符合消防安全要求。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防火设计：厂房、仓库等建筑物的耐火等级为二级，建筑物之间的防火间距符合《建筑设计防火规范》（GB50016-2014）要求；生产过程中严格控制火源，原料堆场和成品仓库严禁明火，设置明显的禁火标志。</w:t>
      </w:r>
    </w:p>
    <w:p>
      <w:pPr>
        <w:rPr>
          <w:rFonts w:ascii="Arial" w:hAnsi="Arial" w:eastAsia="等线" w:cs="Arial"/>
          <w:b/>
          <w:sz w:val="32"/>
        </w:rPr>
      </w:pPr>
      <w:bookmarkStart w:id="63" w:name="heading_43"/>
      <w:r>
        <w:rPr>
          <w:rFonts w:ascii="Arial" w:hAnsi="Arial" w:eastAsia="等线" w:cs="Arial"/>
          <w:b/>
          <w:sz w:val="32"/>
        </w:rPr>
        <w:br w:type="page"/>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64" w:name="_Toc24015"/>
      <w:r>
        <w:rPr>
          <w:rFonts w:ascii="宋体" w:hAnsi="宋体" w:eastAsia="宋体" w:cs="宋体"/>
          <w:b/>
          <w:bCs/>
          <w:snapToGrid w:val="0"/>
          <w:color w:val="000000"/>
          <w:spacing w:val="9"/>
          <w:kern w:val="0"/>
          <w:sz w:val="38"/>
          <w:szCs w:val="38"/>
          <w:lang w:val="en-US" w:eastAsia="en-US" w:bidi="ar-SA"/>
        </w:rPr>
        <w:t>第五章 环境保护</w:t>
      </w:r>
      <w:bookmarkEnd w:id="63"/>
      <w:bookmarkEnd w:id="64"/>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65" w:name="heading_44"/>
      <w:bookmarkStart w:id="66" w:name="_Toc8176"/>
      <w:r>
        <w:rPr>
          <w:rFonts w:ascii="宋体" w:hAnsi="宋体" w:eastAsia="宋体" w:cs="宋体"/>
          <w:b/>
          <w:bCs/>
          <w:snapToGrid w:val="0"/>
          <w:color w:val="000000"/>
          <w:spacing w:val="4"/>
          <w:kern w:val="0"/>
          <w:sz w:val="30"/>
          <w:szCs w:val="30"/>
          <w:lang w:val="en-US" w:eastAsia="en-US" w:bidi="ar-SA"/>
        </w:rPr>
        <w:t>5.1 设计所执行的环保法规和标准</w:t>
      </w:r>
      <w:bookmarkEnd w:id="65"/>
      <w:bookmarkEnd w:id="6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《中华人民共和国环境保护法》；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《中华人民共和国大气污染防治法》；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《中华人民共和国水污染防治法》；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《中华人民共和国环境噪声污染防治法》；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《中华人民共和国固体废物污染环境防治法》；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《环境空气质量标准》（GB3095-2012）二级标准；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《地表水环境质量标准》（GB3838-2002）Ⅲ类标准；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《声环境质量标准》（GB3096-2008）2类标准；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《大气污染物综合排放标准》（GB16297-1996）表2二级标准；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《工业企业厂界环境噪声排放标准》（GB12348-2008）3类标准；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《建筑施工场界环境噪声排放标准》（GB12523-2011）；</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《污水综合排放标准》（GB8978-1996）一级标准。</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67" w:name="_Toc13438"/>
      <w:bookmarkStart w:id="68" w:name="heading_45"/>
      <w:r>
        <w:rPr>
          <w:rFonts w:ascii="宋体" w:hAnsi="宋体" w:eastAsia="宋体" w:cs="宋体"/>
          <w:b/>
          <w:bCs/>
          <w:snapToGrid w:val="0"/>
          <w:color w:val="000000"/>
          <w:spacing w:val="4"/>
          <w:kern w:val="0"/>
          <w:sz w:val="30"/>
          <w:szCs w:val="30"/>
          <w:lang w:val="en-US" w:eastAsia="en-US" w:bidi="ar-SA"/>
        </w:rPr>
        <w:t>5.2 主要污染源及污染物</w:t>
      </w:r>
      <w:bookmarkEnd w:id="67"/>
      <w:bookmarkEnd w:id="68"/>
    </w:p>
    <w:p>
      <w:pPr>
        <w:spacing w:before="260" w:after="120" w:line="288" w:lineRule="auto"/>
        <w:ind w:left="0"/>
        <w:jc w:val="left"/>
        <w:outlineLvl w:val="9"/>
      </w:pPr>
      <w:bookmarkStart w:id="69" w:name="heading_46"/>
      <w:r>
        <w:rPr>
          <w:rFonts w:ascii="Arial" w:hAnsi="Arial" w:eastAsia="等线" w:cs="Arial"/>
          <w:b/>
          <w:sz w:val="28"/>
        </w:rPr>
        <w:t>5.2.1 大气污染</w:t>
      </w:r>
      <w:bookmarkEnd w:id="69"/>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项目生产过程中产生的大气污染物主要为粉尘，来源于破碎、粉碎、烘干、制粒等环节，主要污染物为颗粒物。此外，生物质热风炉燃烧过程中会产生少量SO₂、NOx等污染物。</w:t>
      </w:r>
    </w:p>
    <w:p>
      <w:pPr>
        <w:spacing w:before="260" w:after="120" w:line="288" w:lineRule="auto"/>
        <w:ind w:left="0"/>
        <w:jc w:val="left"/>
        <w:outlineLvl w:val="9"/>
      </w:pPr>
      <w:bookmarkStart w:id="70" w:name="heading_47"/>
      <w:r>
        <w:rPr>
          <w:rFonts w:ascii="Arial" w:hAnsi="Arial" w:eastAsia="等线" w:cs="Arial"/>
          <w:b/>
          <w:sz w:val="28"/>
        </w:rPr>
        <w:t>5.2.2 水污染</w:t>
      </w:r>
      <w:bookmarkEnd w:id="7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项目产生的水污染主要为生产废水和生活污水。生产废水主要来自设备清洗、地面冲洗等，污染物主要为COD、BOD₅、SS等；生活污水主要来自员工日常生活，污染物主要为COD、BOD₅、SS、氨氮等。</w:t>
      </w:r>
    </w:p>
    <w:p>
      <w:pPr>
        <w:spacing w:before="260" w:after="120" w:line="288" w:lineRule="auto"/>
        <w:ind w:left="0"/>
        <w:jc w:val="left"/>
        <w:outlineLvl w:val="9"/>
      </w:pPr>
      <w:bookmarkStart w:id="71" w:name="heading_48"/>
      <w:r>
        <w:rPr>
          <w:rFonts w:ascii="Arial" w:hAnsi="Arial" w:eastAsia="等线" w:cs="Arial"/>
          <w:b/>
          <w:sz w:val="28"/>
        </w:rPr>
        <w:t>5.2.3 噪声污染</w:t>
      </w:r>
      <w:bookmarkEnd w:id="71"/>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项目生产过程中产生的噪声主要来自破碎机、粉碎机、制粒机、风机、泵等设备运行，噪声等级一般在80-100dB(A)之间。</w:t>
      </w:r>
    </w:p>
    <w:p>
      <w:pPr>
        <w:spacing w:before="260" w:after="120" w:line="288" w:lineRule="auto"/>
        <w:ind w:left="0"/>
        <w:jc w:val="left"/>
        <w:outlineLvl w:val="9"/>
      </w:pPr>
      <w:bookmarkStart w:id="72" w:name="heading_49"/>
      <w:r>
        <w:rPr>
          <w:rFonts w:ascii="Arial" w:hAnsi="Arial" w:eastAsia="等线" w:cs="Arial"/>
          <w:b/>
          <w:sz w:val="28"/>
        </w:rPr>
        <w:t>5.2.4 固体废物污染</w:t>
      </w:r>
      <w:bookmarkEnd w:id="72"/>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项目产生的固体废物主要为生产过程中收集的粉尘、污水处理产生的污泥以及员工日常生活垃圾。</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73" w:name="heading_50"/>
      <w:bookmarkStart w:id="74" w:name="_Toc19121"/>
      <w:r>
        <w:rPr>
          <w:rFonts w:ascii="宋体" w:hAnsi="宋体" w:eastAsia="宋体" w:cs="宋体"/>
          <w:b/>
          <w:bCs/>
          <w:snapToGrid w:val="0"/>
          <w:color w:val="000000"/>
          <w:spacing w:val="4"/>
          <w:kern w:val="0"/>
          <w:sz w:val="30"/>
          <w:szCs w:val="30"/>
          <w:lang w:val="en-US" w:eastAsia="en-US" w:bidi="ar-SA"/>
        </w:rPr>
        <w:t>5.3 环境保护措施</w:t>
      </w:r>
      <w:bookmarkEnd w:id="73"/>
      <w:bookmarkEnd w:id="74"/>
    </w:p>
    <w:p>
      <w:pPr>
        <w:spacing w:before="260" w:after="120" w:line="288" w:lineRule="auto"/>
        <w:ind w:left="0"/>
        <w:jc w:val="left"/>
        <w:outlineLvl w:val="9"/>
      </w:pPr>
      <w:bookmarkStart w:id="75" w:name="heading_51"/>
      <w:r>
        <w:rPr>
          <w:rFonts w:ascii="Arial" w:hAnsi="Arial" w:eastAsia="等线" w:cs="Arial"/>
          <w:b/>
          <w:sz w:val="28"/>
        </w:rPr>
        <w:t>5.3.1 大气污染防治措施</w:t>
      </w:r>
      <w:bookmarkEnd w:id="75"/>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破碎、粉碎、烘干、制粒等环节均设置密闭式设备和收尘装置，生产车间采用密闭式设计，减少粉尘无组织排放；</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每个产尘点均配备高效布袋除尘器和沙克龙除尘器，粉尘经两级除尘处理后，通过15m高排气筒排放，确保颗粒物排放浓度符合《大气污染物综合排放标准》（GB16297-1996）表2二级标准；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生物质热风炉选用高效环保型设备，燃烧充分，配备脱硫脱硝装置，确保SO₂、NOx排放浓度符合相关标准要求；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原料堆场和成品仓库设置围挡和防雨设施，定期洒水降尘，减少扬尘污染；</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加强厂区绿化，种植防尘植物，降低扬尘扩散。</w:t>
      </w:r>
    </w:p>
    <w:p>
      <w:pPr>
        <w:spacing w:before="260" w:after="120" w:line="288" w:lineRule="auto"/>
        <w:ind w:left="0"/>
        <w:jc w:val="left"/>
        <w:outlineLvl w:val="9"/>
      </w:pPr>
      <w:bookmarkStart w:id="76" w:name="heading_52"/>
      <w:r>
        <w:rPr>
          <w:rFonts w:ascii="Arial" w:hAnsi="Arial" w:eastAsia="等线" w:cs="Arial"/>
          <w:b/>
          <w:sz w:val="28"/>
        </w:rPr>
        <w:t>5.3.2 水污染防治措施</w:t>
      </w:r>
      <w:bookmarkEnd w:id="7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废水和生活污水分别收集，生产废水经隔油池、沉淀池处理后，与生活污水一同进入化粪池处理，再通过污水处理设施（采用生物接触氧化法）进行深度处理，处理达标后用于厂区绿化或排入周边水体，确保污水排放符合《污水综合排放标准》（GB8978-1996）一级标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选用节水型设备和器具，加强用水管理，减少水资源浪费和污水产生量；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定期对污水处理设施进行维护和检修，确保其正常运行，污水达标排放。</w:t>
      </w:r>
    </w:p>
    <w:p>
      <w:pPr>
        <w:spacing w:before="260" w:after="120" w:line="288" w:lineRule="auto"/>
        <w:ind w:left="0"/>
        <w:jc w:val="left"/>
        <w:outlineLvl w:val="9"/>
      </w:pPr>
      <w:bookmarkStart w:id="77" w:name="heading_53"/>
      <w:r>
        <w:rPr>
          <w:rFonts w:ascii="Arial" w:hAnsi="Arial" w:eastAsia="等线" w:cs="Arial"/>
          <w:b/>
          <w:sz w:val="28"/>
        </w:rPr>
        <w:t>5.3.3 噪声污染防治措施</w:t>
      </w:r>
      <w:bookmarkEnd w:id="77"/>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选用低噪声设备，设备采购时签订噪声控制协议，确保设备噪声符合相关标准；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对高噪声设备（如破碎机、粉碎机、风机等）进行基础减振处理，设置减振垫、减振器等；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生产车间采用隔声设计，墙体采用隔声材料，门窗采用隔声门窗，减少噪声外传；</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风机、泵等设备设置单独的设备间，进行隔声降噪处理；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合理布置厂区设备，将高噪声设备与办公区、生活区保持一定距离，利用建筑物和绿化进行隔声；</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Theme="minorHAnsi" w:hAnsiTheme="minorHAnsi" w:eastAsiaTheme="minorEastAsia" w:cstheme="minorBidi"/>
          <w:snapToGrid w:val="0"/>
          <w:color w:val="000000"/>
          <w:kern w:val="0"/>
        </w:rPr>
      </w:pPr>
      <w:r>
        <w:rPr>
          <w:rFonts w:hint="eastAsia" w:ascii="Times New Roman" w:hAnsi="Times New Roman" w:eastAsia="宋体" w:cs="Times New Roman"/>
          <w:color w:val="000000"/>
          <w:kern w:val="2"/>
          <w:sz w:val="28"/>
          <w:szCs w:val="28"/>
          <w:lang w:val="en-US" w:eastAsia="zh-CN" w:bidi="ar-SA"/>
        </w:rPr>
        <w:t>加强设备维护和保养，确保设备正常运行，避免因设备故障产生异常噪声。</w:t>
      </w:r>
    </w:p>
    <w:p>
      <w:pPr>
        <w:spacing w:before="260" w:after="120" w:line="288" w:lineRule="auto"/>
        <w:ind w:left="0"/>
        <w:jc w:val="left"/>
        <w:outlineLvl w:val="9"/>
      </w:pPr>
      <w:bookmarkStart w:id="78" w:name="heading_54"/>
      <w:r>
        <w:rPr>
          <w:rFonts w:ascii="Arial" w:hAnsi="Arial" w:eastAsia="等线" w:cs="Arial"/>
          <w:b/>
          <w:sz w:val="28"/>
        </w:rPr>
        <w:t>5.3.4 固体废物污染防治措施</w:t>
      </w:r>
      <w:bookmarkEnd w:id="78"/>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生产过程中收集的粉尘可回收作为原料重新利用，实现资源循环；</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污水处理产生的污泥经脱水处理后，送垃圾处理厂填埋或无害化处理；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员工日常生活垃圾实行分类收集，由专人负责清理，定期送当地垃圾处理厂处理；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固体废物处理过程中，严格遵守相关环保规定，避免造成二次污染。</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79" w:name="_Toc7796"/>
      <w:bookmarkStart w:id="80" w:name="heading_55"/>
      <w:r>
        <w:rPr>
          <w:rFonts w:ascii="宋体" w:hAnsi="宋体" w:eastAsia="宋体" w:cs="宋体"/>
          <w:b/>
          <w:bCs/>
          <w:snapToGrid w:val="0"/>
          <w:color w:val="000000"/>
          <w:spacing w:val="4"/>
          <w:kern w:val="0"/>
          <w:sz w:val="30"/>
          <w:szCs w:val="30"/>
          <w:lang w:val="en-US" w:eastAsia="en-US" w:bidi="ar-SA"/>
        </w:rPr>
        <w:t>5.4 环境监测与管理</w:t>
      </w:r>
      <w:bookmarkEnd w:id="79"/>
      <w:bookmarkEnd w:id="8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建立环境监测制度，定期对大气污染物、水污染物、噪声等进行监测，及时掌握污染物排放情况，发现问题及时采取整改措施；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配备专职环保管理人员，负责厂区环境保护管理工作，制定环保管理制度和操作规程，组织员工进行环保知识培训；</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定期向环保部门报送环境监测数据和环境保护工作情况，接受环保部门的监督检查；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加强环境风险防范，制定环境污染事故应急预案，配备应急设备和物资，定期组织应急演练，确保在发生环境污染事故时能够及时有效处置。</w:t>
      </w:r>
    </w:p>
    <w:p>
      <w:pPr>
        <w:rPr>
          <w:rFonts w:ascii="Arial" w:hAnsi="Arial" w:eastAsia="等线" w:cs="Arial"/>
          <w:b/>
          <w:sz w:val="32"/>
        </w:rPr>
      </w:pPr>
      <w:bookmarkStart w:id="81" w:name="heading_56"/>
      <w:r>
        <w:rPr>
          <w:rFonts w:ascii="Arial" w:hAnsi="Arial" w:eastAsia="等线" w:cs="Arial"/>
          <w:b/>
          <w:sz w:val="32"/>
        </w:rPr>
        <w:br w:type="page"/>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82" w:name="_Toc27206"/>
      <w:r>
        <w:rPr>
          <w:rFonts w:ascii="宋体" w:hAnsi="宋体" w:eastAsia="宋体" w:cs="宋体"/>
          <w:b/>
          <w:bCs/>
          <w:snapToGrid w:val="0"/>
          <w:color w:val="000000"/>
          <w:spacing w:val="9"/>
          <w:kern w:val="0"/>
          <w:sz w:val="38"/>
          <w:szCs w:val="38"/>
          <w:lang w:val="en-US" w:eastAsia="en-US" w:bidi="ar-SA"/>
        </w:rPr>
        <w:t>第六章 消防、劳动安全及卫生</w:t>
      </w:r>
      <w:bookmarkEnd w:id="81"/>
      <w:bookmarkEnd w:id="82"/>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83" w:name="_Toc21234"/>
      <w:bookmarkStart w:id="84" w:name="heading_57"/>
      <w:r>
        <w:rPr>
          <w:rFonts w:ascii="宋体" w:hAnsi="宋体" w:eastAsia="宋体" w:cs="宋体"/>
          <w:b/>
          <w:bCs/>
          <w:snapToGrid w:val="0"/>
          <w:color w:val="000000"/>
          <w:spacing w:val="4"/>
          <w:kern w:val="0"/>
          <w:sz w:val="30"/>
          <w:szCs w:val="30"/>
          <w:lang w:val="en-US" w:eastAsia="en-US" w:bidi="ar-SA"/>
        </w:rPr>
        <w:t>6.1 劳动安全</w:t>
      </w:r>
      <w:bookmarkEnd w:id="83"/>
      <w:bookmarkEnd w:id="84"/>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贯彻“安全第一，预防为主，综合治理”的方针，确保本工程在建设过程中及投产运行后均符合安全、卫生要求，保障厂区的安全、劳动者在劳动过程中的安全与健康。</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85" w:name="heading_58"/>
      <w:bookmarkStart w:id="86" w:name="_Toc4149"/>
      <w:r>
        <w:rPr>
          <w:rFonts w:ascii="宋体" w:hAnsi="宋体" w:eastAsia="宋体" w:cs="宋体"/>
          <w:b/>
          <w:bCs/>
          <w:snapToGrid w:val="0"/>
          <w:color w:val="000000"/>
          <w:spacing w:val="4"/>
          <w:kern w:val="0"/>
          <w:sz w:val="30"/>
          <w:szCs w:val="30"/>
          <w:lang w:val="en-US" w:eastAsia="en-US" w:bidi="ar-SA"/>
        </w:rPr>
        <w:t>6.2 安全卫生执行的标准</w:t>
      </w:r>
      <w:bookmarkEnd w:id="85"/>
      <w:bookmarkEnd w:id="8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《中华人民共和国安全生产法》；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《中华人民共和国消防法》；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《爆炸和火灾危险环境电力装置设计规范》（GB50058-2014）；</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《生产过程安全卫生要求总则》（GB/T 12801-2008）；</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《工作场所职业病危害作业分级》（GBZ/T 229-2010/2012）；</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《安全色》（GB 2893-2008）；</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《安全评价通则》（AQ8001-2007）；</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《安全预评价导则》（AQ8002-2007）；</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《企业安全生产标准化基本规范》（AQ/T9006-2016）；</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《生产安全事故应急演练指南》（AQ/T9007-2011）；</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《工业企业设计卫生标准》（GBZ1-2010）。</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87" w:name="heading_59"/>
      <w:bookmarkStart w:id="88" w:name="_Toc8072"/>
      <w:r>
        <w:rPr>
          <w:rFonts w:ascii="宋体" w:hAnsi="宋体" w:eastAsia="宋体" w:cs="宋体"/>
          <w:b/>
          <w:bCs/>
          <w:snapToGrid w:val="0"/>
          <w:color w:val="000000"/>
          <w:spacing w:val="4"/>
          <w:kern w:val="0"/>
          <w:sz w:val="30"/>
          <w:szCs w:val="30"/>
          <w:lang w:val="en-US" w:eastAsia="en-US" w:bidi="ar-SA"/>
        </w:rPr>
        <w:t>6.3 生产过程中职业危险、危害因素的分析</w:t>
      </w:r>
      <w:bookmarkEnd w:id="87"/>
      <w:bookmarkEnd w:id="88"/>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火灾、爆炸风险：生物质原料和成品均为易燃物，若遇到明火、电气火花等火源，可能引发火灾；生产过程中产生的粉尘在一定浓度下，遇火源可能发生粉尘爆炸；电缆绝缘材料老化、短路等可能引发电气火灾。</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机械伤害风险：破碎机、粉碎机、制粒机等设备运行过程中，若安全防护设施不完善、操作人员违规操作，可能造成机械伤害事故。</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触电风险：项目涉及大量电气设备和线路，若电气设备绝缘损坏、接地不良、线路老化等，可能引发触电事故；露天配置的高大建筑物和电气设备有遭受雷击的危险。</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粉尘危害：生产过程中产生的粉尘被操作人员吸入，可能引发尘肺病等职业病。</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噪声危害：设备运行产生的噪声可能对操作人员的听力造成损害。</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高处坠落风险：在设备安装、维护保养、检查修理等高处作业过程中，若防护措施不到位，可能发生高处坠落事故。</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其他风险：原材料运输过程中可能发生车辆伤害事故；生产过程中可能发生物体打击、烫伤等事故。</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89" w:name="_Toc21865"/>
      <w:bookmarkStart w:id="90" w:name="heading_60"/>
      <w:r>
        <w:rPr>
          <w:rFonts w:ascii="宋体" w:hAnsi="宋体" w:eastAsia="宋体" w:cs="宋体"/>
          <w:b/>
          <w:bCs/>
          <w:snapToGrid w:val="0"/>
          <w:color w:val="000000"/>
          <w:spacing w:val="4"/>
          <w:kern w:val="0"/>
          <w:sz w:val="30"/>
          <w:szCs w:val="30"/>
          <w:lang w:val="en-US" w:eastAsia="en-US" w:bidi="ar-SA"/>
        </w:rPr>
        <w:t>6.4 各因素防范措施及应急处理</w:t>
      </w:r>
      <w:bookmarkEnd w:id="89"/>
      <w:bookmarkEnd w:id="90"/>
    </w:p>
    <w:p>
      <w:pPr>
        <w:spacing w:before="260" w:after="120" w:line="288" w:lineRule="auto"/>
        <w:ind w:left="0"/>
        <w:jc w:val="left"/>
        <w:outlineLvl w:val="9"/>
      </w:pPr>
      <w:bookmarkStart w:id="91" w:name="heading_61"/>
      <w:r>
        <w:rPr>
          <w:rFonts w:ascii="Arial" w:hAnsi="Arial" w:eastAsia="等线" w:cs="Arial"/>
          <w:b/>
          <w:sz w:val="28"/>
        </w:rPr>
        <w:t>6.4.1 火灾、爆炸防范措施</w:t>
      </w:r>
      <w:bookmarkEnd w:id="91"/>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严格执行消防安全管理制度，厂区内严禁明火，设置明显的禁火标志；原料堆场和成品仓库与生产车间、办公区保持足够的防火间距，配备充足的消防设施。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电气设备和线路按照规范设计、安装和维护，选用阻燃电缆，定期进行绝缘检测，防止短路引发火灾；配备防雷设施，定期进行检测，防止雷击引发火灾。</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生产车间和仓库设置通风设施，降低粉尘浓度；除尘设备定期清理，防止粉尘积聚；采用防爆型电气设备和照明灯具，避免产生电气火花。</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制定火灾、爆炸事故应急预案，配备消防栓、灭火器、消防沙、消防水带等应急设备和物资，定期组织员工进行消防演练，提高应急处置能力。</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Theme="minorHAnsi" w:hAnsiTheme="minorHAnsi" w:eastAsiaTheme="minorEastAsia" w:cstheme="minorBidi"/>
          <w:snapToGrid w:val="0"/>
          <w:color w:val="000000"/>
          <w:kern w:val="0"/>
        </w:rPr>
      </w:pPr>
      <w:r>
        <w:rPr>
          <w:rFonts w:hint="eastAsia" w:ascii="Times New Roman" w:hAnsi="Times New Roman" w:eastAsia="宋体" w:cs="Times New Roman"/>
          <w:color w:val="000000"/>
          <w:kern w:val="2"/>
          <w:sz w:val="28"/>
          <w:szCs w:val="28"/>
          <w:lang w:val="en-US" w:eastAsia="zh-CN" w:bidi="ar-SA"/>
        </w:rPr>
        <w:t>应急处理：发生火灾、爆炸事故时，立即启动应急预案，组织人员疏散，切断电源、气源，使用消防设施进行灭火；同时拨打火警电话，通知消防部门救援。</w:t>
      </w:r>
    </w:p>
    <w:p>
      <w:pPr>
        <w:spacing w:before="260" w:after="120" w:line="288" w:lineRule="auto"/>
        <w:ind w:left="0"/>
        <w:jc w:val="left"/>
        <w:outlineLvl w:val="9"/>
      </w:pPr>
      <w:bookmarkStart w:id="92" w:name="heading_62"/>
      <w:r>
        <w:rPr>
          <w:rFonts w:ascii="Arial" w:hAnsi="Arial" w:eastAsia="等线" w:cs="Arial"/>
          <w:b/>
          <w:sz w:val="28"/>
        </w:rPr>
        <w:t>6.4.2 机械伤害防范措施</w:t>
      </w:r>
      <w:bookmarkEnd w:id="92"/>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设备采购时确保安全防护设施齐全有效，如防护罩、防护栏、紧急停机按钮等；设备安装后进行安全验收，合格后方可投入使用。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制定设备安全操作规程，对操作人员进行安全培训，考核合格后方可上岗操作；操作人员严格遵守操作规程，严禁违规操作。</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定期对设备进行维护保养和安全检查，及时发现和消除设备安全隐患；设备运行过程中，严禁操作人员靠近危险部位。</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应急处理：发生机械伤害事故时，立即停止设备运行，切断电源，对受伤人员进行急救处理，如止血、包扎、固定等，严重时送医院治疗。</w:t>
      </w:r>
    </w:p>
    <w:p>
      <w:pPr>
        <w:spacing w:before="260" w:after="120" w:line="288" w:lineRule="auto"/>
        <w:ind w:left="0"/>
        <w:jc w:val="left"/>
        <w:outlineLvl w:val="9"/>
      </w:pPr>
      <w:bookmarkStart w:id="93" w:name="heading_63"/>
      <w:r>
        <w:rPr>
          <w:rFonts w:ascii="Arial" w:hAnsi="Arial" w:eastAsia="等线" w:cs="Arial"/>
          <w:b/>
          <w:sz w:val="28"/>
        </w:rPr>
        <w:t>6.4.3 触电防范措施</w:t>
      </w:r>
      <w:bookmarkEnd w:id="93"/>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电气设备和线路按照规范设计、安装和接地，配备漏电保护装置；定期对电气设备和线路进行检查和维护，及时更换老化、损坏的设备和线路。</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操作人员穿戴绝缘防护用品，如绝缘鞋、绝缘手套等；严禁无证人员从事电气作业，电气作业必须两人以上进行，相互监护。</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雷雨天气避免进行室外电气作业；露天电气设备采取防雨、防潮措施。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应急处理：发生触电事故时，立即切断电源或使用绝缘工具使触电人员脱离电源，对触电人员进行人工呼吸、胸外按压等急救处理，严重时送医院治疗。</w:t>
      </w:r>
    </w:p>
    <w:p>
      <w:pPr>
        <w:spacing w:before="260" w:after="120" w:line="288" w:lineRule="auto"/>
        <w:ind w:left="0"/>
        <w:jc w:val="left"/>
        <w:outlineLvl w:val="9"/>
      </w:pPr>
      <w:bookmarkStart w:id="94" w:name="heading_64"/>
      <w:r>
        <w:rPr>
          <w:rFonts w:ascii="Arial" w:hAnsi="Arial" w:eastAsia="等线" w:cs="Arial"/>
          <w:b/>
          <w:sz w:val="28"/>
        </w:rPr>
        <w:t>6.4.4 粉尘危害防范措施</w:t>
      </w:r>
      <w:bookmarkEnd w:id="94"/>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生产车间采用密闭式设计，产尘点配备高效除尘设备，确保粉尘达标排放；加强车间通风，降低粉尘浓度。</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操作人员穿戴防尘口罩、防护服等防护用品，定期进行职业健康检查。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定期对车间进行清扫，采用湿式清扫方式，避免粉尘飞扬。</w:t>
      </w:r>
    </w:p>
    <w:p>
      <w:pPr>
        <w:spacing w:before="260" w:after="120" w:line="288" w:lineRule="auto"/>
        <w:ind w:left="0"/>
        <w:jc w:val="left"/>
        <w:outlineLvl w:val="9"/>
      </w:pPr>
      <w:bookmarkStart w:id="95" w:name="heading_65"/>
      <w:r>
        <w:rPr>
          <w:rFonts w:ascii="Arial" w:hAnsi="Arial" w:eastAsia="等线" w:cs="Arial"/>
          <w:b/>
          <w:sz w:val="28"/>
        </w:rPr>
        <w:t>6.4.5 噪声危害防范措施</w:t>
      </w:r>
      <w:bookmarkEnd w:id="95"/>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选用低噪声设备，对高噪声设备进行减振、隔声处理；设置单独的设备间，减少噪声外传。</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操作人员穿戴防噪声耳塞、耳罩等防护用品，合理安排作业时间，避免长时间接触高噪声。</w:t>
      </w:r>
    </w:p>
    <w:p>
      <w:pPr>
        <w:spacing w:before="260" w:after="120" w:line="288" w:lineRule="auto"/>
        <w:ind w:left="0"/>
        <w:jc w:val="left"/>
        <w:outlineLvl w:val="9"/>
      </w:pPr>
      <w:bookmarkStart w:id="96" w:name="heading_66"/>
      <w:r>
        <w:rPr>
          <w:rFonts w:ascii="Arial" w:hAnsi="Arial" w:eastAsia="等线" w:cs="Arial"/>
          <w:b/>
          <w:sz w:val="28"/>
        </w:rPr>
        <w:t>6.4.6 高处坠落防范措施</w:t>
      </w:r>
      <w:bookmarkEnd w:id="9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高处作业人员必须系好安全带，佩戴安全帽；作业现场设置安全警示标志，搭设安全防护棚、防护栏杆等防护设施。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定期对高处作业设施进行检查和维护，确保其安全可靠；恶劣天气（如大风、暴雨、大雪等）避免进行高处作业。</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应急处理：发生高处坠落事故时，立即停止作业，对受伤人员进行急救处理，如止血、包扎、固定等，严重时送医院治疗。</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97" w:name="_Toc7335"/>
      <w:bookmarkStart w:id="98" w:name="heading_67"/>
      <w:r>
        <w:rPr>
          <w:rFonts w:ascii="宋体" w:hAnsi="宋体" w:eastAsia="宋体" w:cs="宋体"/>
          <w:b/>
          <w:bCs/>
          <w:snapToGrid w:val="0"/>
          <w:color w:val="000000"/>
          <w:spacing w:val="4"/>
          <w:kern w:val="0"/>
          <w:sz w:val="30"/>
          <w:szCs w:val="30"/>
          <w:lang w:val="en-US" w:eastAsia="en-US" w:bidi="ar-SA"/>
        </w:rPr>
        <w:t>6.5 劳动保护和安全卫生措施</w:t>
      </w:r>
      <w:bookmarkEnd w:id="97"/>
      <w:bookmarkEnd w:id="98"/>
    </w:p>
    <w:p>
      <w:pPr>
        <w:spacing w:before="260" w:after="120" w:line="288" w:lineRule="auto"/>
        <w:ind w:left="0"/>
        <w:jc w:val="left"/>
        <w:outlineLvl w:val="9"/>
      </w:pPr>
      <w:bookmarkStart w:id="99" w:name="heading_68"/>
      <w:r>
        <w:rPr>
          <w:rFonts w:ascii="Arial" w:hAnsi="Arial" w:eastAsia="等线" w:cs="Arial"/>
          <w:b/>
          <w:sz w:val="28"/>
        </w:rPr>
        <w:t>6.5.1 劳动保护</w:t>
      </w:r>
      <w:bookmarkEnd w:id="99"/>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生产经营单位必须为从业人员提供符合国家标准或者行业标准的劳动防护用品，包括安全帽、安全带、防尘口罩、防噪声耳塞、绝缘鞋、绝缘手套等，并监督、教育从业人员按照使用规则佩戴、使用。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制定并完善安全生产管理制度、设备安全操作规程、劳动保护制度等，明确各岗位的安全职责和操作要求。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对员工进行系统的安全教育和培训，包括安全生产法律法规、安全管理制度、操作规程、应急处置方法等，新员工必须经过三级安全教育培训合格后方可上岗；从事电气、焊接、起重等特殊工种的人员，必须取得相应的职业资格证书后方可上岗操作。</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定期组织员工进行职业健康检查，建立职业健康档案，对患有职业病的员工及时进行治疗和安置。</w:t>
      </w:r>
    </w:p>
    <w:p>
      <w:pPr>
        <w:spacing w:before="260" w:after="120" w:line="288" w:lineRule="auto"/>
        <w:ind w:left="0"/>
        <w:jc w:val="left"/>
        <w:outlineLvl w:val="9"/>
      </w:pPr>
      <w:bookmarkStart w:id="100" w:name="heading_69"/>
      <w:r>
        <w:rPr>
          <w:rFonts w:ascii="Arial" w:hAnsi="Arial" w:eastAsia="等线" w:cs="Arial"/>
          <w:b/>
          <w:sz w:val="28"/>
        </w:rPr>
        <w:t>6.5.2 安全卫生工程设计措施</w:t>
      </w:r>
      <w:bookmarkEnd w:id="10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生产构筑物均设便于操作和行走的操作平台、走道板或安全护栏、扶手；设备布置留有足够的安全操作距离和空间。</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各种用电设备均按国家有关标准做好接零接地保护；电气设备及机械设备的布置考虑采光和通风要求，确保操作环境良好。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生产车间设置更衣室、休息室、卫生间等辅助设施，为员工提供良好的休息和生活条件。</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采用自动控制和机械化操作，降低劳动强度，减少操作人员直接接触有害因素的机会。</w:t>
      </w:r>
    </w:p>
    <w:p>
      <w:pPr>
        <w:spacing w:before="260" w:after="120" w:line="288" w:lineRule="auto"/>
        <w:ind w:left="0"/>
        <w:jc w:val="left"/>
        <w:outlineLvl w:val="9"/>
      </w:pPr>
      <w:bookmarkStart w:id="101" w:name="heading_70"/>
      <w:r>
        <w:rPr>
          <w:rFonts w:ascii="Arial" w:hAnsi="Arial" w:eastAsia="等线" w:cs="Arial"/>
          <w:b/>
          <w:sz w:val="28"/>
        </w:rPr>
        <w:t>6.5.3 安全操作方案</w:t>
      </w:r>
      <w:bookmarkEnd w:id="101"/>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严格执行安全生产管理制度和设备安全操作规程，严禁违规操作；操作人员上岗前必须穿戴好劳动防护用品。</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制定火警、火灾、爆炸、机械伤害、触电等突发事件的应急应变计划，明确应急组织机构、应急响应程序、应急处置措施等，并在醒目位置张贴。</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运行管理人员必须了解生产过程中的各种有害因素与操作及维修工作的利害关系，熟练掌握设备的性能和操作方法。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设备运行前必须进行检查，确认设备正常、安全防护设施齐全有效后方可启动；运行过程中密切关注设备运行状态，发现异常立即停机检查。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维修各种设备时必须切断电源，并在控制箱外挂维修警示牌，严禁非本岗位人员启、闭机电设备。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在运转中清理机电设备及周围环境卫生时，严禁擦拭设备运转部位，不得将冲洗水溅到电缆头和电机上。</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有害气体、异味、粉尘和环境潮湿的场所，必须保持通风良好；清捞杂物、浮渣及清扫堰口时，应有安全及监护措施。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在构筑物上或敞开式池、井边巡视、操作时，应注意安全，雨天或冰雪天气应特别注意防滑。</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bookmarkStart w:id="102" w:name="heading_71"/>
      <w:r>
        <w:rPr>
          <w:rFonts w:hint="eastAsia" w:ascii="Times New Roman" w:hAnsi="Times New Roman" w:eastAsia="宋体" w:cs="Times New Roman"/>
          <w:color w:val="000000"/>
          <w:kern w:val="2"/>
          <w:sz w:val="28"/>
          <w:szCs w:val="28"/>
          <w:lang w:val="en-US" w:eastAsia="zh-CN" w:bidi="ar-SA"/>
        </w:rPr>
        <w:br w:type="page"/>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103" w:name="_Toc3835"/>
      <w:r>
        <w:rPr>
          <w:rFonts w:ascii="宋体" w:hAnsi="宋体" w:eastAsia="宋体" w:cs="宋体"/>
          <w:b/>
          <w:bCs/>
          <w:snapToGrid w:val="0"/>
          <w:color w:val="000000"/>
          <w:spacing w:val="9"/>
          <w:kern w:val="0"/>
          <w:sz w:val="38"/>
          <w:szCs w:val="38"/>
          <w:lang w:val="en-US" w:eastAsia="en-US" w:bidi="ar-SA"/>
        </w:rPr>
        <w:t>第七章 节能</w:t>
      </w:r>
      <w:bookmarkEnd w:id="102"/>
      <w:bookmarkEnd w:id="103"/>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04" w:name="_Toc6088"/>
      <w:bookmarkStart w:id="105" w:name="heading_72"/>
      <w:r>
        <w:rPr>
          <w:rFonts w:ascii="宋体" w:hAnsi="宋体" w:eastAsia="宋体" w:cs="宋体"/>
          <w:b/>
          <w:bCs/>
          <w:snapToGrid w:val="0"/>
          <w:color w:val="000000"/>
          <w:spacing w:val="4"/>
          <w:kern w:val="0"/>
          <w:sz w:val="30"/>
          <w:szCs w:val="30"/>
          <w:lang w:val="en-US" w:eastAsia="en-US" w:bidi="ar-SA"/>
        </w:rPr>
        <w:t>7.1 节能原则与依据</w:t>
      </w:r>
      <w:bookmarkEnd w:id="104"/>
      <w:bookmarkEnd w:id="105"/>
    </w:p>
    <w:p>
      <w:pPr>
        <w:spacing w:before="260" w:after="120" w:line="288" w:lineRule="auto"/>
        <w:ind w:left="0"/>
        <w:jc w:val="left"/>
        <w:outlineLvl w:val="9"/>
      </w:pPr>
      <w:bookmarkStart w:id="106" w:name="heading_73"/>
      <w:r>
        <w:rPr>
          <w:rFonts w:ascii="Arial" w:hAnsi="Arial" w:eastAsia="等线" w:cs="Arial"/>
          <w:b/>
          <w:sz w:val="28"/>
        </w:rPr>
        <w:t>7.1.1 节能原则</w:t>
      </w:r>
      <w:bookmarkEnd w:id="10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认真贯彻国家产业政策和行业节能设计规范，严格执行节能技术规定，努力做到合理使用资源，提高能源利用效率。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积极采用先进的节能新材料、新工艺、新技术，优先选用节能型设备，严禁采用国家或行业主管部门已淘汰的落后工艺和设备。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坚持节能与减排相结合，通过节能降低能源消耗，减少污染物排放，实现经济效益、社会效益和环境效益的统一。</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注重全过程节能，从项目设计、设备选型、施工建设到生产运营的各个环节，均采取有效的节能措施，提高能源利用效率。</w:t>
      </w:r>
    </w:p>
    <w:p>
      <w:pPr>
        <w:spacing w:before="260" w:after="120" w:line="288" w:lineRule="auto"/>
        <w:ind w:left="0"/>
        <w:jc w:val="left"/>
        <w:outlineLvl w:val="9"/>
      </w:pPr>
      <w:bookmarkStart w:id="107" w:name="heading_74"/>
      <w:r>
        <w:rPr>
          <w:rFonts w:ascii="Arial" w:hAnsi="Arial" w:eastAsia="等线" w:cs="Arial"/>
          <w:b/>
          <w:sz w:val="28"/>
        </w:rPr>
        <w:t>7.1.2 节能依据</w:t>
      </w:r>
      <w:bookmarkEnd w:id="107"/>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《中华人民共和国节约能源法》；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《中国节能技术政策大纲》；</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《河北省人民政府关于加强节能工作的决定》；</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《国家鼓励发展的资源节约综合利用和环境保护技术》；</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《节能中长期专项规划》（发改环资[2004]2505号）；</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《河北省节约能源条例》；</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《固定资产投资项目节能审查办法》；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相关行业节能设计规范和标准。</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08" w:name="heading_75"/>
      <w:bookmarkStart w:id="109" w:name="_Toc30265"/>
      <w:r>
        <w:rPr>
          <w:rFonts w:ascii="宋体" w:hAnsi="宋体" w:eastAsia="宋体" w:cs="宋体"/>
          <w:b/>
          <w:bCs/>
          <w:snapToGrid w:val="0"/>
          <w:color w:val="000000"/>
          <w:spacing w:val="4"/>
          <w:kern w:val="0"/>
          <w:sz w:val="30"/>
          <w:szCs w:val="30"/>
          <w:lang w:val="en-US" w:eastAsia="en-US" w:bidi="ar-SA"/>
        </w:rPr>
        <w:t>7.2 节能措施和节能效果分析</w:t>
      </w:r>
      <w:bookmarkEnd w:id="108"/>
      <w:bookmarkEnd w:id="109"/>
    </w:p>
    <w:p>
      <w:pPr>
        <w:spacing w:before="260" w:after="120" w:line="288" w:lineRule="auto"/>
        <w:ind w:left="0"/>
        <w:jc w:val="left"/>
        <w:outlineLvl w:val="9"/>
      </w:pPr>
      <w:bookmarkStart w:id="110" w:name="heading_76"/>
      <w:r>
        <w:rPr>
          <w:rFonts w:ascii="Arial" w:hAnsi="Arial" w:eastAsia="等线" w:cs="Arial"/>
          <w:b/>
          <w:sz w:val="28"/>
        </w:rPr>
        <w:t>7.2.1 工艺技术及设备节能措施</w:t>
      </w:r>
      <w:bookmarkEnd w:id="11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采用先进的生物质颗粒生产工艺，优化工艺流程，减少物料运输距离和能源消耗；选用高效节能的破碎、粉碎、制粒、烘干等设备，提高生产效率和能源利用效率。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烘干工段采用余热回收装置，回收烘干过程中产生的余热用于预热冷空气，降低能源消耗；生物质热风炉选用高效燃烧设备，提高燃料燃烧效率，降低燃料消耗。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设备选型时优先选用节能型电机，采用变频调速技术，根据生产负荷调节电机转速，减少无效能耗；合理匹配设备容量，避免设备大马拉小车现象。</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优化厂区总平面布局，使生产车间、原料堆场、成品仓库等设施布局合理，物流顺畅，减少物料运输距离和运输能耗。</w:t>
      </w:r>
    </w:p>
    <w:p>
      <w:pPr>
        <w:spacing w:before="260" w:after="120" w:line="288" w:lineRule="auto"/>
        <w:ind w:left="0"/>
        <w:jc w:val="left"/>
        <w:outlineLvl w:val="9"/>
      </w:pPr>
      <w:bookmarkStart w:id="111" w:name="heading_77"/>
      <w:r>
        <w:rPr>
          <w:rFonts w:ascii="Arial" w:hAnsi="Arial" w:eastAsia="等线" w:cs="Arial"/>
          <w:b/>
          <w:sz w:val="28"/>
        </w:rPr>
        <w:t>7.2.2 建筑节能措施</w:t>
      </w:r>
      <w:bookmarkEnd w:id="111"/>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厂房、办公及辅助用房采用节能型建筑材料，如保温彩钢板、节能门窗等，提高建筑物的保温隔热性能，减少采暖和制冷能耗。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合理设计建筑物的朝向和采光面积，充分利用自然光，减少人工照明能耗；厂房设置通风天窗，利用自然通风，减少机械通风能耗。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建筑总平面布置和建筑单体的平面设计，在保证使用功能的同时，充分考虑热环境的合理分区，减少能源消耗。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场地硬化和道路建设采用透水铺装材料，增加雨水渗透，减少水资源消耗；厂区绿化选用乡土树种，减少灌溉用水。</w:t>
      </w:r>
    </w:p>
    <w:p>
      <w:pPr>
        <w:spacing w:before="260" w:after="120" w:line="288" w:lineRule="auto"/>
        <w:ind w:left="0"/>
        <w:jc w:val="left"/>
        <w:outlineLvl w:val="9"/>
      </w:pPr>
      <w:bookmarkStart w:id="112" w:name="heading_78"/>
      <w:r>
        <w:rPr>
          <w:rFonts w:ascii="Arial" w:hAnsi="Arial" w:eastAsia="等线" w:cs="Arial"/>
          <w:b/>
          <w:sz w:val="28"/>
        </w:rPr>
        <w:t>7.2.3 电气设施节能措施</w:t>
      </w:r>
      <w:bookmarkEnd w:id="112"/>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常用电气设备采用效率高、能耗低、性能先进、技术成熟的产品；变压器选用节能型变压器，降低空载损耗和负载损耗。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当供给连续运行用电设备的低压配电干线容量较大、线路较长时，适当增加导体截面，降低线路损耗；单相负荷均匀分配在三相配电干线的各相上，最大相与最小相负荷之差不超过三相总负荷的±10%。</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照明系统采用高效节能灯具，如LED灯、荧光灯等，充分利用自然光，合理布置照明灯具，提高照明效率；室外景观照明和道路照明选用太阳能灯具，节约电能。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采用节能型无功补偿装置，实现无功集中和就地补偿，提高系统的功率因数，降低能耗，补偿后的功率因数达到0.95以上。</w:t>
      </w:r>
    </w:p>
    <w:p>
      <w:pPr>
        <w:spacing w:before="260" w:after="120" w:line="288" w:lineRule="auto"/>
        <w:ind w:left="0"/>
        <w:jc w:val="left"/>
        <w:outlineLvl w:val="9"/>
      </w:pPr>
      <w:bookmarkStart w:id="113" w:name="heading_79"/>
      <w:r>
        <w:rPr>
          <w:rFonts w:ascii="Arial" w:hAnsi="Arial" w:eastAsia="等线" w:cs="Arial"/>
          <w:b/>
          <w:sz w:val="28"/>
        </w:rPr>
        <w:t>7.2.4 给排水专业节能措施</w:t>
      </w:r>
      <w:bookmarkEnd w:id="113"/>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供水系统采用变频调速装置，根据用水需求自动调节水泵转速，提高水泵运行效率，节约电能；选用高效节能水泵，降低水泵能耗。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采用管内壁光滑、阻力小的给水管材，合理选用管径，减少管道的阻力损失和水泵扬程，降低能耗。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加强水资源管理，安装水表计量用水，制定用水定额，实行计划用水；定期对供水、用水设备进行检修，避免跑、冒、滴、漏现象，节约水资源。</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生产废水经处理后回收利用于厂区绿化、地面冲洗等，提高水资源重复利用率。</w:t>
      </w:r>
    </w:p>
    <w:p>
      <w:pPr>
        <w:spacing w:before="260" w:after="120" w:line="288" w:lineRule="auto"/>
        <w:ind w:left="0"/>
        <w:jc w:val="left"/>
        <w:outlineLvl w:val="9"/>
      </w:pPr>
      <w:bookmarkStart w:id="114" w:name="heading_80"/>
      <w:r>
        <w:rPr>
          <w:rFonts w:ascii="Arial" w:hAnsi="Arial" w:eastAsia="等线" w:cs="Arial"/>
          <w:b/>
          <w:sz w:val="28"/>
        </w:rPr>
        <w:t>7.2.5 节能效果分析</w:t>
      </w:r>
      <w:bookmarkEnd w:id="114"/>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通过采取上述节能措施，项目能源利用效率将显著提高，主要节能效果如下：</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项目第一阶段年生产生物质颗粒</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万吨，预计年消耗电能约</w:t>
      </w:r>
      <w:r>
        <w:rPr>
          <w:rFonts w:hint="eastAsia" w:cs="Times New Roman"/>
          <w:color w:val="000000"/>
          <w:kern w:val="2"/>
          <w:sz w:val="28"/>
          <w:szCs w:val="28"/>
          <w:highlight w:val="none"/>
          <w:lang w:val="en-US" w:eastAsia="zh-CN" w:bidi="ar-SA"/>
        </w:rPr>
        <w:t>66.7</w:t>
      </w:r>
      <w:r>
        <w:rPr>
          <w:rFonts w:hint="eastAsia" w:ascii="Times New Roman" w:hAnsi="Times New Roman" w:eastAsia="宋体" w:cs="Times New Roman"/>
          <w:color w:val="000000"/>
          <w:kern w:val="2"/>
          <w:sz w:val="28"/>
          <w:szCs w:val="28"/>
          <w:highlight w:val="none"/>
          <w:lang w:val="en-US" w:eastAsia="zh-CN" w:bidi="ar-SA"/>
        </w:rPr>
        <w:t>万kWh，通过采用节能设备和变频调速技术等，年可节约电能约</w:t>
      </w:r>
      <w:r>
        <w:rPr>
          <w:rFonts w:hint="eastAsia" w:cs="Times New Roman"/>
          <w:color w:val="000000"/>
          <w:kern w:val="2"/>
          <w:sz w:val="28"/>
          <w:szCs w:val="28"/>
          <w:highlight w:val="none"/>
          <w:lang w:val="en-US" w:eastAsia="zh-CN" w:bidi="ar-SA"/>
        </w:rPr>
        <w:t>6.7</w:t>
      </w:r>
      <w:r>
        <w:rPr>
          <w:rFonts w:hint="eastAsia" w:ascii="Times New Roman" w:hAnsi="Times New Roman" w:eastAsia="宋体" w:cs="Times New Roman"/>
          <w:color w:val="000000"/>
          <w:kern w:val="2"/>
          <w:sz w:val="28"/>
          <w:szCs w:val="28"/>
          <w:highlight w:val="none"/>
          <w:lang w:val="en-US" w:eastAsia="zh-CN" w:bidi="ar-SA"/>
        </w:rPr>
        <w:t>万kWh，节约标准煤约</w:t>
      </w:r>
      <w:r>
        <w:rPr>
          <w:rFonts w:hint="eastAsia" w:cs="Times New Roman"/>
          <w:color w:val="000000"/>
          <w:kern w:val="2"/>
          <w:sz w:val="28"/>
          <w:szCs w:val="28"/>
          <w:highlight w:val="none"/>
          <w:lang w:val="en-US" w:eastAsia="zh-CN" w:bidi="ar-SA"/>
        </w:rPr>
        <w:t>8.2</w:t>
      </w:r>
      <w:r>
        <w:rPr>
          <w:rFonts w:hint="eastAsia" w:ascii="Times New Roman" w:hAnsi="Times New Roman" w:eastAsia="宋体" w:cs="Times New Roman"/>
          <w:color w:val="000000"/>
          <w:kern w:val="2"/>
          <w:sz w:val="28"/>
          <w:szCs w:val="28"/>
          <w:highlight w:val="none"/>
          <w:lang w:val="en-US" w:eastAsia="zh-CN" w:bidi="ar-SA"/>
        </w:rPr>
        <w:t>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烘干工段采用余热回收装置和高效热风炉，年可节约生物质燃料约</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00吨，折合标准煤约</w:t>
      </w:r>
      <w:r>
        <w:rPr>
          <w:rFonts w:hint="eastAsia" w:cs="Times New Roman"/>
          <w:color w:val="000000"/>
          <w:kern w:val="2"/>
          <w:sz w:val="28"/>
          <w:szCs w:val="28"/>
          <w:highlight w:val="none"/>
          <w:lang w:val="en-US" w:eastAsia="zh-CN" w:bidi="ar-SA"/>
        </w:rPr>
        <w:t>6</w:t>
      </w:r>
      <w:r>
        <w:rPr>
          <w:rFonts w:hint="eastAsia" w:ascii="Times New Roman" w:hAnsi="Times New Roman" w:eastAsia="宋体" w:cs="Times New Roman"/>
          <w:color w:val="000000"/>
          <w:kern w:val="2"/>
          <w:sz w:val="28"/>
          <w:szCs w:val="28"/>
          <w:highlight w:val="none"/>
          <w:lang w:val="en-US" w:eastAsia="zh-CN" w:bidi="ar-SA"/>
        </w:rPr>
        <w:t>0吨。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建筑节能措施可使厂房和办公用房的采暖、制冷能耗降低20%以上，年可节约标准煤约</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0吨。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水资源重复利用率达到30%以上，年可节约水资源约</w:t>
      </w:r>
      <w:r>
        <w:rPr>
          <w:rFonts w:hint="eastAsia" w:cs="Times New Roman"/>
          <w:color w:val="000000"/>
          <w:kern w:val="2"/>
          <w:sz w:val="28"/>
          <w:szCs w:val="28"/>
          <w:highlight w:val="none"/>
          <w:lang w:val="en-US" w:eastAsia="zh-CN" w:bidi="ar-SA"/>
        </w:rPr>
        <w:t>330</w:t>
      </w:r>
      <w:r>
        <w:rPr>
          <w:rFonts w:hint="eastAsia" w:ascii="Times New Roman" w:hAnsi="Times New Roman" w:eastAsia="宋体" w:cs="Times New Roman"/>
          <w:color w:val="000000"/>
          <w:kern w:val="2"/>
          <w:sz w:val="28"/>
          <w:szCs w:val="28"/>
          <w:highlight w:val="none"/>
          <w:lang w:val="en-US" w:eastAsia="zh-CN" w:bidi="ar-SA"/>
        </w:rPr>
        <w:t>m³。</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项目的实施不仅能够有效利用农林废弃物资源，生产清洁能源，还通过一系列节能措施降低了能源消耗和水资源消耗，具有良好的节能效果。</w:t>
      </w:r>
    </w:p>
    <w:p>
      <w:pPr>
        <w:rPr>
          <w:rFonts w:ascii="Arial" w:hAnsi="Arial" w:eastAsia="等线" w:cs="Arial"/>
          <w:b/>
          <w:sz w:val="32"/>
        </w:rPr>
      </w:pPr>
      <w:bookmarkStart w:id="115" w:name="heading_81"/>
      <w:r>
        <w:rPr>
          <w:rFonts w:ascii="Arial" w:hAnsi="Arial" w:eastAsia="等线" w:cs="Arial"/>
          <w:b/>
          <w:sz w:val="32"/>
        </w:rPr>
        <w:br w:type="page"/>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116" w:name="_Toc26576"/>
      <w:r>
        <w:rPr>
          <w:rFonts w:ascii="宋体" w:hAnsi="宋体" w:eastAsia="宋体" w:cs="宋体"/>
          <w:b/>
          <w:bCs/>
          <w:snapToGrid w:val="0"/>
          <w:color w:val="000000"/>
          <w:spacing w:val="9"/>
          <w:kern w:val="0"/>
          <w:sz w:val="38"/>
          <w:szCs w:val="38"/>
          <w:lang w:val="en-US" w:eastAsia="en-US" w:bidi="ar-SA"/>
        </w:rPr>
        <w:t>第八章 建设期限和实施进度安排</w:t>
      </w:r>
      <w:bookmarkEnd w:id="115"/>
      <w:bookmarkEnd w:id="116"/>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17" w:name="_Toc17913"/>
      <w:bookmarkStart w:id="118" w:name="heading_82"/>
      <w:r>
        <w:rPr>
          <w:rFonts w:ascii="宋体" w:hAnsi="宋体" w:eastAsia="宋体" w:cs="宋体"/>
          <w:b/>
          <w:bCs/>
          <w:snapToGrid w:val="0"/>
          <w:color w:val="000000"/>
          <w:spacing w:val="4"/>
          <w:kern w:val="0"/>
          <w:sz w:val="30"/>
          <w:szCs w:val="30"/>
          <w:lang w:val="en-US" w:eastAsia="en-US" w:bidi="ar-SA"/>
        </w:rPr>
        <w:t>8.1 建设期限</w:t>
      </w:r>
      <w:bookmarkEnd w:id="117"/>
      <w:bookmarkEnd w:id="118"/>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项目总建设期限为</w:t>
      </w:r>
      <w:r>
        <w:rPr>
          <w:rFonts w:hint="eastAsia" w:cs="Times New Roman"/>
          <w:color w:val="000000"/>
          <w:kern w:val="2"/>
          <w:sz w:val="28"/>
          <w:szCs w:val="28"/>
          <w:lang w:val="en-US" w:eastAsia="zh-CN" w:bidi="ar-SA"/>
        </w:rPr>
        <w:t>1</w:t>
      </w:r>
      <w:r>
        <w:rPr>
          <w:rFonts w:hint="eastAsia" w:ascii="Times New Roman" w:hAnsi="Times New Roman" w:eastAsia="宋体" w:cs="Times New Roman"/>
          <w:color w:val="000000"/>
          <w:kern w:val="2"/>
          <w:sz w:val="28"/>
          <w:szCs w:val="28"/>
          <w:lang w:val="en-US" w:eastAsia="zh-CN" w:bidi="ar-SA"/>
        </w:rPr>
        <w:t>年。</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19" w:name="heading_83"/>
      <w:bookmarkStart w:id="120" w:name="_Toc17822"/>
      <w:r>
        <w:rPr>
          <w:rFonts w:ascii="宋体" w:hAnsi="宋体" w:eastAsia="宋体" w:cs="宋体"/>
          <w:b/>
          <w:bCs/>
          <w:snapToGrid w:val="0"/>
          <w:color w:val="000000"/>
          <w:spacing w:val="4"/>
          <w:kern w:val="0"/>
          <w:sz w:val="30"/>
          <w:szCs w:val="30"/>
          <w:lang w:val="en-US" w:eastAsia="en-US" w:bidi="ar-SA"/>
        </w:rPr>
        <w:t>8.2 实施进度安排</w:t>
      </w:r>
      <w:bookmarkEnd w:id="119"/>
      <w:bookmarkEnd w:id="12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2026年</w:t>
      </w:r>
      <w:r>
        <w:rPr>
          <w:rFonts w:hint="eastAsia" w:cs="Times New Roman"/>
          <w:color w:val="000000"/>
          <w:kern w:val="2"/>
          <w:sz w:val="28"/>
          <w:szCs w:val="28"/>
          <w:lang w:val="en-US" w:eastAsia="zh-CN" w:bidi="ar-SA"/>
        </w:rPr>
        <w:t>4</w:t>
      </w:r>
      <w:r>
        <w:rPr>
          <w:rFonts w:hint="eastAsia" w:ascii="Times New Roman" w:hAnsi="Times New Roman" w:eastAsia="宋体" w:cs="Times New Roman"/>
          <w:color w:val="000000"/>
          <w:kern w:val="2"/>
          <w:sz w:val="28"/>
          <w:szCs w:val="28"/>
          <w:lang w:val="en-US" w:eastAsia="zh-CN" w:bidi="ar-SA"/>
        </w:rPr>
        <w:t>月-202</w:t>
      </w:r>
      <w:r>
        <w:rPr>
          <w:rFonts w:hint="eastAsia" w:cs="Times New Roman"/>
          <w:color w:val="000000"/>
          <w:kern w:val="2"/>
          <w:sz w:val="28"/>
          <w:szCs w:val="28"/>
          <w:lang w:val="en-US" w:eastAsia="zh-CN" w:bidi="ar-SA"/>
        </w:rPr>
        <w:t>7</w:t>
      </w:r>
      <w:r>
        <w:rPr>
          <w:rFonts w:hint="eastAsia" w:ascii="Times New Roman" w:hAnsi="Times New Roman" w:eastAsia="宋体" w:cs="Times New Roman"/>
          <w:color w:val="000000"/>
          <w:kern w:val="2"/>
          <w:sz w:val="28"/>
          <w:szCs w:val="28"/>
          <w:lang w:val="en-US" w:eastAsia="zh-CN" w:bidi="ar-SA"/>
        </w:rPr>
        <w:t>年</w:t>
      </w:r>
      <w:r>
        <w:rPr>
          <w:rFonts w:hint="eastAsia" w:cs="Times New Roman"/>
          <w:color w:val="000000"/>
          <w:kern w:val="2"/>
          <w:sz w:val="28"/>
          <w:szCs w:val="28"/>
          <w:lang w:val="en-US" w:eastAsia="zh-CN" w:bidi="ar-SA"/>
        </w:rPr>
        <w:t>5</w:t>
      </w:r>
      <w:r>
        <w:rPr>
          <w:rFonts w:hint="eastAsia" w:ascii="Times New Roman" w:hAnsi="Times New Roman" w:eastAsia="宋体" w:cs="Times New Roman"/>
          <w:color w:val="000000"/>
          <w:kern w:val="2"/>
          <w:sz w:val="28"/>
          <w:szCs w:val="28"/>
          <w:lang w:val="en-US" w:eastAsia="zh-CN" w:bidi="ar-SA"/>
        </w:rPr>
        <w:t>月：完成项目前期准备工作，招投标文件编制、设备采购合同签订等。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2026年</w:t>
      </w:r>
      <w:r>
        <w:rPr>
          <w:rFonts w:hint="eastAsia" w:cs="Times New Roman"/>
          <w:color w:val="000000"/>
          <w:kern w:val="2"/>
          <w:sz w:val="28"/>
          <w:szCs w:val="28"/>
          <w:lang w:val="en-US" w:eastAsia="zh-CN" w:bidi="ar-SA"/>
        </w:rPr>
        <w:t>6</w:t>
      </w:r>
      <w:r>
        <w:rPr>
          <w:rFonts w:hint="eastAsia" w:ascii="Times New Roman" w:hAnsi="Times New Roman" w:eastAsia="宋体" w:cs="Times New Roman"/>
          <w:color w:val="000000"/>
          <w:kern w:val="2"/>
          <w:sz w:val="28"/>
          <w:szCs w:val="28"/>
          <w:lang w:val="en-US" w:eastAsia="zh-CN" w:bidi="ar-SA"/>
        </w:rPr>
        <w:t>月-2026年</w:t>
      </w:r>
      <w:r>
        <w:rPr>
          <w:rFonts w:hint="eastAsia" w:cs="Times New Roman"/>
          <w:color w:val="000000"/>
          <w:kern w:val="2"/>
          <w:sz w:val="28"/>
          <w:szCs w:val="28"/>
          <w:lang w:val="en-US" w:eastAsia="zh-CN" w:bidi="ar-SA"/>
        </w:rPr>
        <w:t>7</w:t>
      </w:r>
      <w:r>
        <w:rPr>
          <w:rFonts w:hint="eastAsia" w:ascii="Times New Roman" w:hAnsi="Times New Roman" w:eastAsia="宋体" w:cs="Times New Roman"/>
          <w:color w:val="000000"/>
          <w:kern w:val="2"/>
          <w:sz w:val="28"/>
          <w:szCs w:val="28"/>
          <w:lang w:val="en-US" w:eastAsia="zh-CN" w:bidi="ar-SA"/>
        </w:rPr>
        <w:t>月：完成厂房、办公及辅助用房、原料堆场、成品仓库等土建工程施工。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2026年</w:t>
      </w:r>
      <w:r>
        <w:rPr>
          <w:rFonts w:hint="eastAsia" w:cs="Times New Roman"/>
          <w:color w:val="000000"/>
          <w:kern w:val="2"/>
          <w:sz w:val="28"/>
          <w:szCs w:val="28"/>
          <w:lang w:val="en-US" w:eastAsia="zh-CN" w:bidi="ar-SA"/>
        </w:rPr>
        <w:t>8</w:t>
      </w:r>
      <w:r>
        <w:rPr>
          <w:rFonts w:hint="eastAsia" w:ascii="Times New Roman" w:hAnsi="Times New Roman" w:eastAsia="宋体" w:cs="Times New Roman"/>
          <w:color w:val="000000"/>
          <w:kern w:val="2"/>
          <w:sz w:val="28"/>
          <w:szCs w:val="28"/>
          <w:lang w:val="en-US" w:eastAsia="zh-CN" w:bidi="ar-SA"/>
        </w:rPr>
        <w:t>月-2026年</w:t>
      </w:r>
      <w:r>
        <w:rPr>
          <w:rFonts w:hint="eastAsia" w:cs="Times New Roman"/>
          <w:color w:val="000000"/>
          <w:kern w:val="2"/>
          <w:sz w:val="28"/>
          <w:szCs w:val="28"/>
          <w:lang w:val="en-US" w:eastAsia="zh-CN" w:bidi="ar-SA"/>
        </w:rPr>
        <w:t>9</w:t>
      </w:r>
      <w:r>
        <w:rPr>
          <w:rFonts w:hint="eastAsia" w:ascii="Times New Roman" w:hAnsi="Times New Roman" w:eastAsia="宋体" w:cs="Times New Roman"/>
          <w:color w:val="000000"/>
          <w:kern w:val="2"/>
          <w:sz w:val="28"/>
          <w:szCs w:val="28"/>
          <w:lang w:val="en-US" w:eastAsia="zh-CN" w:bidi="ar-SA"/>
        </w:rPr>
        <w:t>月：完成设备购置、运输及安装调试，包括破碎机组、粉碎机组、烘干机组、制粒机组、包装机组及配套设备。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2026年</w:t>
      </w:r>
      <w:r>
        <w:rPr>
          <w:rFonts w:hint="eastAsia" w:cs="Times New Roman"/>
          <w:color w:val="000000"/>
          <w:kern w:val="2"/>
          <w:sz w:val="28"/>
          <w:szCs w:val="28"/>
          <w:lang w:val="en-US" w:eastAsia="zh-CN" w:bidi="ar-SA"/>
        </w:rPr>
        <w:t>10</w:t>
      </w:r>
      <w:r>
        <w:rPr>
          <w:rFonts w:hint="eastAsia" w:ascii="Times New Roman" w:hAnsi="Times New Roman" w:eastAsia="宋体" w:cs="Times New Roman"/>
          <w:color w:val="000000"/>
          <w:kern w:val="2"/>
          <w:sz w:val="28"/>
          <w:szCs w:val="28"/>
          <w:lang w:val="en-US" w:eastAsia="zh-CN" w:bidi="ar-SA"/>
        </w:rPr>
        <w:t>月-2026年1</w:t>
      </w:r>
      <w:r>
        <w:rPr>
          <w:rFonts w:hint="eastAsia" w:cs="Times New Roman"/>
          <w:color w:val="000000"/>
          <w:kern w:val="2"/>
          <w:sz w:val="28"/>
          <w:szCs w:val="28"/>
          <w:lang w:val="en-US" w:eastAsia="zh-CN" w:bidi="ar-SA"/>
        </w:rPr>
        <w:t>1</w:t>
      </w:r>
      <w:r>
        <w:rPr>
          <w:rFonts w:hint="eastAsia" w:ascii="Times New Roman" w:hAnsi="Times New Roman" w:eastAsia="宋体" w:cs="Times New Roman"/>
          <w:color w:val="000000"/>
          <w:kern w:val="2"/>
          <w:sz w:val="28"/>
          <w:szCs w:val="28"/>
          <w:lang w:val="en-US" w:eastAsia="zh-CN" w:bidi="ar-SA"/>
        </w:rPr>
        <w:t>月：完成供配电系统、给排水系统、消防系统、通风系统等配套设施建设及调试。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202</w:t>
      </w:r>
      <w:r>
        <w:rPr>
          <w:rFonts w:hint="eastAsia" w:cs="Times New Roman"/>
          <w:color w:val="000000"/>
          <w:kern w:val="2"/>
          <w:sz w:val="28"/>
          <w:szCs w:val="28"/>
          <w:lang w:val="en-US" w:eastAsia="zh-CN" w:bidi="ar-SA"/>
        </w:rPr>
        <w:t>7</w:t>
      </w:r>
      <w:r>
        <w:rPr>
          <w:rFonts w:hint="eastAsia" w:ascii="Times New Roman" w:hAnsi="Times New Roman" w:eastAsia="宋体" w:cs="Times New Roman"/>
          <w:color w:val="000000"/>
          <w:kern w:val="2"/>
          <w:sz w:val="28"/>
          <w:szCs w:val="28"/>
          <w:lang w:val="en-US" w:eastAsia="zh-CN" w:bidi="ar-SA"/>
        </w:rPr>
        <w:t>年</w:t>
      </w:r>
      <w:r>
        <w:rPr>
          <w:rFonts w:hint="eastAsia" w:cs="Times New Roman"/>
          <w:color w:val="000000"/>
          <w:kern w:val="2"/>
          <w:sz w:val="28"/>
          <w:szCs w:val="28"/>
          <w:lang w:val="en-US" w:eastAsia="zh-CN" w:bidi="ar-SA"/>
        </w:rPr>
        <w:t>1</w:t>
      </w:r>
      <w:r>
        <w:rPr>
          <w:rFonts w:hint="eastAsia" w:ascii="Times New Roman" w:hAnsi="Times New Roman" w:eastAsia="宋体" w:cs="Times New Roman"/>
          <w:color w:val="000000"/>
          <w:kern w:val="2"/>
          <w:sz w:val="28"/>
          <w:szCs w:val="28"/>
          <w:lang w:val="en-US" w:eastAsia="zh-CN" w:bidi="ar-SA"/>
        </w:rPr>
        <w:t>月：进行人员招聘及培训、原料采购、试生产等工作，解决试生产过程中出现的问题。</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asciiTheme="minorHAnsi" w:hAnsiTheme="minorHAnsi" w:eastAsiaTheme="minorEastAsia" w:cstheme="minorBidi"/>
          <w:snapToGrid w:val="0"/>
          <w:color w:val="000000"/>
          <w:kern w:val="0"/>
        </w:rPr>
      </w:pPr>
      <w:r>
        <w:rPr>
          <w:rFonts w:hint="eastAsia" w:ascii="Times New Roman" w:hAnsi="Times New Roman" w:eastAsia="宋体" w:cs="Times New Roman"/>
          <w:color w:val="000000"/>
          <w:kern w:val="2"/>
          <w:sz w:val="28"/>
          <w:szCs w:val="28"/>
          <w:lang w:val="en-US" w:eastAsia="zh-CN" w:bidi="ar-SA"/>
        </w:rPr>
        <w:t>202</w:t>
      </w:r>
      <w:r>
        <w:rPr>
          <w:rFonts w:hint="eastAsia" w:cs="Times New Roman"/>
          <w:color w:val="000000"/>
          <w:kern w:val="2"/>
          <w:sz w:val="28"/>
          <w:szCs w:val="28"/>
          <w:lang w:val="en-US" w:eastAsia="zh-CN" w:bidi="ar-SA"/>
        </w:rPr>
        <w:t>7</w:t>
      </w:r>
      <w:r>
        <w:rPr>
          <w:rFonts w:hint="eastAsia" w:ascii="Times New Roman" w:hAnsi="Times New Roman" w:eastAsia="宋体" w:cs="Times New Roman"/>
          <w:color w:val="000000"/>
          <w:kern w:val="2"/>
          <w:sz w:val="28"/>
          <w:szCs w:val="28"/>
          <w:lang w:val="en-US" w:eastAsia="zh-CN" w:bidi="ar-SA"/>
        </w:rPr>
        <w:t>年</w:t>
      </w:r>
      <w:r>
        <w:rPr>
          <w:rFonts w:hint="eastAsia" w:cs="Times New Roman"/>
          <w:color w:val="000000"/>
          <w:kern w:val="2"/>
          <w:sz w:val="28"/>
          <w:szCs w:val="28"/>
          <w:lang w:val="en-US" w:eastAsia="zh-CN" w:bidi="ar-SA"/>
        </w:rPr>
        <w:t>3</w:t>
      </w:r>
      <w:r>
        <w:rPr>
          <w:rFonts w:hint="eastAsia" w:ascii="Times New Roman" w:hAnsi="Times New Roman" w:eastAsia="宋体" w:cs="Times New Roman"/>
          <w:color w:val="000000"/>
          <w:kern w:val="2"/>
          <w:sz w:val="28"/>
          <w:szCs w:val="28"/>
          <w:lang w:val="en-US" w:eastAsia="zh-CN" w:bidi="ar-SA"/>
        </w:rPr>
        <w:t>月：项目竣工验收，正式投产运营。</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21" w:name="heading_86"/>
      <w:bookmarkStart w:id="122" w:name="_Toc8063"/>
      <w:r>
        <w:rPr>
          <w:rFonts w:ascii="宋体" w:hAnsi="宋体" w:eastAsia="宋体" w:cs="宋体"/>
          <w:b/>
          <w:bCs/>
          <w:snapToGrid w:val="0"/>
          <w:color w:val="000000"/>
          <w:spacing w:val="4"/>
          <w:kern w:val="0"/>
          <w:sz w:val="30"/>
          <w:szCs w:val="30"/>
          <w:lang w:val="en-US" w:eastAsia="en-US" w:bidi="ar-SA"/>
        </w:rPr>
        <w:t>8.3 项目实施及验收</w:t>
      </w:r>
      <w:bookmarkEnd w:id="121"/>
      <w:bookmarkEnd w:id="122"/>
    </w:p>
    <w:p>
      <w:pPr>
        <w:spacing w:before="260" w:after="120" w:line="288" w:lineRule="auto"/>
        <w:ind w:left="0"/>
        <w:jc w:val="left"/>
        <w:outlineLvl w:val="9"/>
      </w:pPr>
      <w:bookmarkStart w:id="123" w:name="heading_87"/>
      <w:r>
        <w:rPr>
          <w:rFonts w:ascii="Arial" w:hAnsi="Arial" w:eastAsia="等线" w:cs="Arial"/>
          <w:b/>
          <w:sz w:val="28"/>
        </w:rPr>
        <w:t>8.3.1 项目实施</w:t>
      </w:r>
      <w:bookmarkEnd w:id="123"/>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项目建设严格按照国家有关法律法规和建设程序进行，实行项目法人制、招投标制、合同制和工程监理制，确保项目建设质量和进度。</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施工单位严格按照施工图纸和施工规范进行施工，建立健全质量管理体系，加强施工过程质量控制；监理单位认真履行监理职责，对工程质量、进度、投资进行全过程监理。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设备采购实行公开招标，选择信誉好、技术实力强的设备供应商，确保设备质量和交货期；设备安装由专业安装队伍进行，安装完成后进行调试，确保设备正常运行。</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项目建设过程中，加强安全生产管理，落实安全生产责任制，确保施工安全；加强环境保护管理，落实各项环保措施，减少施工对环境的影响。</w:t>
      </w:r>
    </w:p>
    <w:p>
      <w:pPr>
        <w:spacing w:before="260" w:after="120" w:line="288" w:lineRule="auto"/>
        <w:ind w:left="0"/>
        <w:jc w:val="left"/>
        <w:outlineLvl w:val="9"/>
      </w:pPr>
      <w:bookmarkStart w:id="124" w:name="heading_88"/>
      <w:r>
        <w:rPr>
          <w:rFonts w:ascii="Arial" w:hAnsi="Arial" w:eastAsia="等线" w:cs="Arial"/>
          <w:b/>
          <w:sz w:val="28"/>
        </w:rPr>
        <w:t>8.3.2 项目竣工和验收</w:t>
      </w:r>
      <w:bookmarkEnd w:id="124"/>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项目建成后，由项目实施单位组织相关单位进行自验，自验合格后委托第三方机构进行审计和环保验收监测。</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自验和审计合格后，项目实施单位向县项目领导小组提出验收申请，提交验收资料，包括项目建设总结报告、工程竣工图、设备清单、财务决算报告、审计报告、环保验收监测报告等。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县项目领导小组组织相关部门进行初验，初验合格后，申请石家庄市农业农村局组织项目正式验收。</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验收合格后，项目工程交付使用，正式投入运行；项目运行过程中，做好运行维护管理，确保项目效益持续发挥。</w:t>
      </w:r>
    </w:p>
    <w:p>
      <w:pPr>
        <w:rPr>
          <w:rFonts w:ascii="Arial" w:hAnsi="Arial" w:eastAsia="等线" w:cs="Arial"/>
          <w:b/>
          <w:sz w:val="32"/>
        </w:rPr>
      </w:pPr>
      <w:bookmarkStart w:id="125" w:name="heading_89"/>
      <w:r>
        <w:rPr>
          <w:rFonts w:ascii="Arial" w:hAnsi="Arial" w:eastAsia="等线" w:cs="Arial"/>
          <w:b/>
          <w:sz w:val="32"/>
        </w:rPr>
        <w:br w:type="page"/>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126" w:name="_Toc20956"/>
      <w:r>
        <w:rPr>
          <w:rFonts w:ascii="宋体" w:hAnsi="宋体" w:eastAsia="宋体" w:cs="宋体"/>
          <w:b/>
          <w:bCs/>
          <w:snapToGrid w:val="0"/>
          <w:color w:val="000000"/>
          <w:spacing w:val="9"/>
          <w:kern w:val="0"/>
          <w:sz w:val="38"/>
          <w:szCs w:val="38"/>
          <w:lang w:val="en-US" w:eastAsia="en-US" w:bidi="ar-SA"/>
        </w:rPr>
        <w:t>第九章 投资估算和资金筹措</w:t>
      </w:r>
      <w:bookmarkEnd w:id="125"/>
      <w:bookmarkEnd w:id="126"/>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27" w:name="_Toc23413"/>
      <w:bookmarkStart w:id="128" w:name="heading_90"/>
      <w:r>
        <w:rPr>
          <w:rFonts w:ascii="宋体" w:hAnsi="宋体" w:eastAsia="宋体" w:cs="宋体"/>
          <w:b/>
          <w:bCs/>
          <w:snapToGrid w:val="0"/>
          <w:color w:val="000000"/>
          <w:spacing w:val="4"/>
          <w:kern w:val="0"/>
          <w:sz w:val="30"/>
          <w:szCs w:val="30"/>
          <w:lang w:val="en-US" w:eastAsia="en-US" w:bidi="ar-SA"/>
        </w:rPr>
        <w:t>9.1 投资估算</w:t>
      </w:r>
      <w:bookmarkEnd w:id="127"/>
      <w:bookmarkEnd w:id="128"/>
    </w:p>
    <w:p>
      <w:pPr>
        <w:ind w:firstLine="556" w:firstLineChars="200"/>
        <w:rPr>
          <w:rFonts w:hint="eastAsia" w:ascii="宋体" w:hAnsi="宋体" w:cs="宋体"/>
          <w:spacing w:val="-1"/>
          <w:sz w:val="28"/>
          <w:szCs w:val="28"/>
          <w:lang w:eastAsia="zh-CN"/>
        </w:rPr>
      </w:pPr>
      <w:r>
        <w:rPr>
          <w:rFonts w:ascii="宋体" w:hAnsi="宋体" w:eastAsia="宋体" w:cs="宋体"/>
          <w:spacing w:val="-1"/>
          <w:sz w:val="28"/>
          <w:szCs w:val="28"/>
        </w:rPr>
        <w:t>项目总投资</w:t>
      </w:r>
      <w:r>
        <w:rPr>
          <w:rFonts w:hint="eastAsia" w:ascii="宋体" w:hAnsi="宋体" w:eastAsia="宋体" w:cs="宋体"/>
          <w:spacing w:val="-1"/>
          <w:sz w:val="28"/>
          <w:szCs w:val="28"/>
          <w:lang w:val="en-US" w:eastAsia="zh-CN"/>
        </w:rPr>
        <w:t>233.42</w:t>
      </w:r>
      <w:r>
        <w:rPr>
          <w:rFonts w:ascii="宋体" w:hAnsi="宋体" w:eastAsia="宋体" w:cs="宋体"/>
          <w:spacing w:val="-1"/>
          <w:sz w:val="28"/>
          <w:szCs w:val="28"/>
        </w:rPr>
        <w:t>万元。其中自筹资金1</w:t>
      </w:r>
      <w:r>
        <w:rPr>
          <w:rFonts w:hint="eastAsia" w:ascii="宋体" w:hAnsi="宋体" w:eastAsia="宋体" w:cs="宋体"/>
          <w:spacing w:val="-1"/>
          <w:sz w:val="28"/>
          <w:szCs w:val="28"/>
          <w:lang w:val="en-US" w:eastAsia="zh-CN"/>
        </w:rPr>
        <w:t>23.42</w:t>
      </w:r>
      <w:r>
        <w:rPr>
          <w:rFonts w:ascii="宋体" w:hAnsi="宋体" w:eastAsia="宋体" w:cs="宋体"/>
          <w:spacing w:val="-1"/>
          <w:sz w:val="28"/>
          <w:szCs w:val="28"/>
        </w:rPr>
        <w:t>万元，</w:t>
      </w:r>
      <w:r>
        <w:rPr>
          <w:rFonts w:ascii="宋体" w:hAnsi="宋体" w:eastAsia="宋体" w:cs="宋体"/>
          <w:spacing w:val="-73"/>
          <w:sz w:val="28"/>
          <w:szCs w:val="28"/>
        </w:rPr>
        <w:t xml:space="preserve"> </w:t>
      </w:r>
      <w:r>
        <w:rPr>
          <w:rFonts w:ascii="宋体" w:hAnsi="宋体" w:eastAsia="宋体" w:cs="宋体"/>
          <w:spacing w:val="-1"/>
          <w:sz w:val="28"/>
          <w:szCs w:val="28"/>
        </w:rPr>
        <w:t>占总投资的</w:t>
      </w:r>
      <w:r>
        <w:rPr>
          <w:rFonts w:hint="eastAsia" w:ascii="宋体" w:hAnsi="宋体" w:eastAsia="宋体" w:cs="宋体"/>
          <w:spacing w:val="-1"/>
          <w:sz w:val="28"/>
          <w:szCs w:val="28"/>
          <w:lang w:val="en-US" w:eastAsia="zh-CN"/>
        </w:rPr>
        <w:t>52.87</w:t>
      </w:r>
      <w:r>
        <w:rPr>
          <w:rFonts w:ascii="宋体" w:hAnsi="宋体" w:eastAsia="宋体" w:cs="宋体"/>
          <w:spacing w:val="-1"/>
          <w:sz w:val="28"/>
          <w:szCs w:val="28"/>
        </w:rPr>
        <w:t>%;</w:t>
      </w:r>
      <w:r>
        <w:rPr>
          <w:rFonts w:ascii="宋体" w:hAnsi="宋体" w:eastAsia="宋体" w:cs="宋体"/>
          <w:spacing w:val="-5"/>
          <w:sz w:val="28"/>
          <w:szCs w:val="28"/>
        </w:rPr>
        <w:t>省级财政资金补贴</w:t>
      </w:r>
      <w:r>
        <w:rPr>
          <w:rFonts w:hint="eastAsia" w:ascii="宋体" w:hAnsi="宋体" w:eastAsia="宋体" w:cs="宋体"/>
          <w:spacing w:val="-6"/>
          <w:sz w:val="28"/>
          <w:szCs w:val="28"/>
          <w:lang w:val="en-US" w:eastAsia="zh-CN"/>
        </w:rPr>
        <w:t>110万元，</w:t>
      </w:r>
      <w:r>
        <w:rPr>
          <w:rFonts w:ascii="宋体" w:hAnsi="宋体" w:eastAsia="宋体" w:cs="宋体"/>
          <w:spacing w:val="-73"/>
          <w:sz w:val="28"/>
          <w:szCs w:val="28"/>
        </w:rPr>
        <w:t xml:space="preserve"> </w:t>
      </w:r>
      <w:r>
        <w:rPr>
          <w:rFonts w:ascii="宋体" w:hAnsi="宋体" w:eastAsia="宋体" w:cs="宋体"/>
          <w:spacing w:val="-1"/>
          <w:sz w:val="28"/>
          <w:szCs w:val="28"/>
        </w:rPr>
        <w:t>占总投资的</w:t>
      </w:r>
      <w:r>
        <w:rPr>
          <w:rFonts w:hint="eastAsia" w:ascii="宋体" w:hAnsi="宋体" w:cs="宋体"/>
          <w:spacing w:val="-1"/>
          <w:sz w:val="28"/>
          <w:szCs w:val="28"/>
          <w:lang w:val="en-US" w:eastAsia="zh-CN"/>
        </w:rPr>
        <w:t>47.13</w:t>
      </w:r>
      <w:r>
        <w:rPr>
          <w:rFonts w:ascii="宋体" w:hAnsi="宋体" w:eastAsia="宋体" w:cs="宋体"/>
          <w:spacing w:val="-1"/>
          <w:sz w:val="28"/>
          <w:szCs w:val="28"/>
        </w:rPr>
        <w:t>%</w:t>
      </w:r>
      <w:r>
        <w:rPr>
          <w:rFonts w:hint="eastAsia" w:ascii="宋体" w:hAnsi="宋体" w:cs="宋体"/>
          <w:spacing w:val="-1"/>
          <w:sz w:val="28"/>
          <w:szCs w:val="28"/>
          <w:lang w:eastAsia="zh-CN"/>
        </w:rPr>
        <w:t>。</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29" w:name="_Toc20425"/>
      <w:bookmarkStart w:id="130" w:name="heading_95"/>
      <w:r>
        <w:rPr>
          <w:rFonts w:ascii="宋体" w:hAnsi="宋体" w:eastAsia="宋体" w:cs="宋体"/>
          <w:b/>
          <w:bCs/>
          <w:snapToGrid w:val="0"/>
          <w:color w:val="000000"/>
          <w:spacing w:val="4"/>
          <w:kern w:val="0"/>
          <w:sz w:val="30"/>
          <w:szCs w:val="30"/>
          <w:lang w:val="en-US" w:eastAsia="en-US" w:bidi="ar-SA"/>
        </w:rPr>
        <w:t>9.</w:t>
      </w:r>
      <w:r>
        <w:rPr>
          <w:rFonts w:hint="eastAsia" w:ascii="宋体" w:hAnsi="宋体" w:cs="宋体"/>
          <w:b/>
          <w:bCs/>
          <w:snapToGrid w:val="0"/>
          <w:color w:val="000000"/>
          <w:spacing w:val="4"/>
          <w:kern w:val="0"/>
          <w:sz w:val="30"/>
          <w:szCs w:val="30"/>
          <w:lang w:val="en-US" w:eastAsia="zh-CN" w:bidi="ar-SA"/>
        </w:rPr>
        <w:t>2</w:t>
      </w:r>
      <w:r>
        <w:rPr>
          <w:rFonts w:ascii="宋体" w:hAnsi="宋体" w:eastAsia="宋体" w:cs="宋体"/>
          <w:b/>
          <w:bCs/>
          <w:snapToGrid w:val="0"/>
          <w:color w:val="000000"/>
          <w:spacing w:val="4"/>
          <w:kern w:val="0"/>
          <w:sz w:val="30"/>
          <w:szCs w:val="30"/>
          <w:lang w:val="en-US" w:eastAsia="en-US" w:bidi="ar-SA"/>
        </w:rPr>
        <w:t>资金管理</w:t>
      </w:r>
      <w:bookmarkEnd w:id="129"/>
      <w:bookmarkEnd w:id="13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项目资金实行专户储存、专户管理、专款专用，严格按照项目规定用途使用，不得截留、挤占、挪用。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省级财政资金实行专账管理，独立核算，实行主管部门审核报账制管理，由平山县新能源服务中心根据项目实施进度，向财政部门提出资金拨付审核申请，财政部门按照有关规定及时将补助资金拨付给项目实施单位。</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企业自筹资金按时足额到位，确保项目建设顺利进行；项目资金使用接受审计部门和上级主管部门的审计监督，定期进行财务审计，确保资金使用规范、高效。</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建立健全财务管理制度，规范会计核算，如实、及时登记账目，填送财务报表，妥善保管财务档案。</w:t>
      </w:r>
    </w:p>
    <w:p>
      <w:pPr>
        <w:rPr>
          <w:rFonts w:ascii="Arial" w:hAnsi="Arial" w:eastAsia="等线" w:cs="Arial"/>
          <w:b/>
          <w:sz w:val="32"/>
        </w:rPr>
      </w:pPr>
      <w:bookmarkStart w:id="131" w:name="heading_96"/>
      <w:r>
        <w:rPr>
          <w:rFonts w:ascii="Arial" w:hAnsi="Arial" w:eastAsia="等线" w:cs="Arial"/>
          <w:b/>
          <w:sz w:val="32"/>
        </w:rPr>
        <w:br w:type="page"/>
      </w:r>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132" w:name="_Toc17912"/>
      <w:r>
        <w:rPr>
          <w:rFonts w:ascii="宋体" w:hAnsi="宋体" w:eastAsia="宋体" w:cs="宋体"/>
          <w:b/>
          <w:bCs/>
          <w:snapToGrid w:val="0"/>
          <w:color w:val="000000"/>
          <w:spacing w:val="9"/>
          <w:kern w:val="0"/>
          <w:sz w:val="38"/>
          <w:szCs w:val="38"/>
          <w:lang w:val="en-US" w:eastAsia="en-US" w:bidi="ar-SA"/>
        </w:rPr>
        <w:t>第十章 项目效益分析</w:t>
      </w:r>
      <w:bookmarkEnd w:id="131"/>
      <w:bookmarkEnd w:id="132"/>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33" w:name="_Toc6517"/>
      <w:bookmarkStart w:id="134" w:name="heading_97"/>
      <w:r>
        <w:rPr>
          <w:rFonts w:ascii="宋体" w:hAnsi="宋体" w:eastAsia="宋体" w:cs="宋体"/>
          <w:b/>
          <w:bCs/>
          <w:snapToGrid w:val="0"/>
          <w:color w:val="000000"/>
          <w:spacing w:val="4"/>
          <w:kern w:val="0"/>
          <w:sz w:val="30"/>
          <w:szCs w:val="30"/>
          <w:lang w:val="en-US" w:eastAsia="en-US" w:bidi="ar-SA"/>
        </w:rPr>
        <w:t>10.1 环境效益</w:t>
      </w:r>
      <w:bookmarkEnd w:id="133"/>
      <w:bookmarkEnd w:id="134"/>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项目的实施具有显著的环境效益，主要体现在以下几个方面：</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提高农林废弃物资源化利用水平：项目年处理秸秆、树枝等农林废弃物约</w:t>
      </w:r>
      <w:r>
        <w:rPr>
          <w:rFonts w:hint="eastAsia" w:cs="Times New Roman"/>
          <w:color w:val="000000"/>
          <w:kern w:val="2"/>
          <w:sz w:val="28"/>
          <w:szCs w:val="28"/>
          <w:highlight w:val="none"/>
          <w:lang w:val="en-US" w:eastAsia="zh-CN" w:bidi="ar-SA"/>
        </w:rPr>
        <w:t>1.5</w:t>
      </w:r>
      <w:r>
        <w:rPr>
          <w:rFonts w:hint="eastAsia" w:ascii="Times New Roman" w:hAnsi="Times New Roman" w:eastAsia="宋体" w:cs="Times New Roman"/>
          <w:color w:val="000000"/>
          <w:kern w:val="2"/>
          <w:sz w:val="28"/>
          <w:szCs w:val="28"/>
          <w:highlight w:val="none"/>
          <w:lang w:val="en-US" w:eastAsia="zh-CN" w:bidi="ar-SA"/>
        </w:rPr>
        <w:t>万吨（第一阶段），有效解决了农林废弃物焚烧、丢弃带来的资源浪费和环境污染问题，实现了废弃物的资源化利用。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减少污染物排放：通过生物质成型燃料替代散煤，年可折合标准煤</w:t>
      </w:r>
      <w:r>
        <w:rPr>
          <w:rFonts w:hint="eastAsia" w:cs="Times New Roman"/>
          <w:color w:val="000000"/>
          <w:kern w:val="2"/>
          <w:sz w:val="28"/>
          <w:szCs w:val="28"/>
          <w:highlight w:val="none"/>
          <w:lang w:val="en-US" w:eastAsia="zh-CN" w:bidi="ar-SA"/>
        </w:rPr>
        <w:t>0</w:t>
      </w:r>
      <w:r>
        <w:rPr>
          <w:rFonts w:hint="eastAsia" w:ascii="Times New Roman" w:hAnsi="Times New Roman" w:eastAsia="宋体" w:cs="Times New Roman"/>
          <w:color w:val="000000"/>
          <w:kern w:val="2"/>
          <w:sz w:val="28"/>
          <w:szCs w:val="28"/>
          <w:highlight w:val="none"/>
          <w:lang w:val="en-US" w:eastAsia="zh-CN" w:bidi="ar-SA"/>
        </w:rPr>
        <w:t>.5万吨，减少CO₂排放</w:t>
      </w:r>
      <w:r>
        <w:rPr>
          <w:rFonts w:hint="eastAsia" w:cs="Times New Roman"/>
          <w:color w:val="000000"/>
          <w:kern w:val="2"/>
          <w:sz w:val="28"/>
          <w:szCs w:val="28"/>
          <w:highlight w:val="none"/>
          <w:lang w:val="en-US" w:eastAsia="zh-CN" w:bidi="ar-SA"/>
        </w:rPr>
        <w:t>1.1</w:t>
      </w:r>
      <w:r>
        <w:rPr>
          <w:rFonts w:hint="eastAsia" w:ascii="Times New Roman" w:hAnsi="Times New Roman" w:eastAsia="宋体" w:cs="Times New Roman"/>
          <w:color w:val="000000"/>
          <w:kern w:val="2"/>
          <w:sz w:val="28"/>
          <w:szCs w:val="28"/>
          <w:highlight w:val="none"/>
          <w:lang w:val="en-US" w:eastAsia="zh-CN" w:bidi="ar-SA"/>
        </w:rPr>
        <w:t>万吨，减少SO₂排放</w:t>
      </w:r>
      <w:r>
        <w:rPr>
          <w:rFonts w:hint="eastAsia" w:cs="Times New Roman"/>
          <w:color w:val="000000"/>
          <w:kern w:val="2"/>
          <w:sz w:val="28"/>
          <w:szCs w:val="28"/>
          <w:highlight w:val="none"/>
          <w:lang w:val="en-US" w:eastAsia="zh-CN" w:bidi="ar-SA"/>
        </w:rPr>
        <w:t>31</w:t>
      </w:r>
      <w:r>
        <w:rPr>
          <w:rFonts w:hint="eastAsia" w:ascii="Times New Roman" w:hAnsi="Times New Roman" w:eastAsia="宋体" w:cs="Times New Roman"/>
          <w:color w:val="000000"/>
          <w:kern w:val="2"/>
          <w:sz w:val="28"/>
          <w:szCs w:val="28"/>
          <w:highlight w:val="none"/>
          <w:lang w:val="en-US" w:eastAsia="zh-CN" w:bidi="ar-SA"/>
        </w:rPr>
        <w:t>吨，减少NOx排放</w:t>
      </w:r>
      <w:r>
        <w:rPr>
          <w:rFonts w:hint="eastAsia" w:cs="Times New Roman"/>
          <w:color w:val="000000"/>
          <w:kern w:val="2"/>
          <w:sz w:val="28"/>
          <w:szCs w:val="28"/>
          <w:highlight w:val="none"/>
          <w:lang w:val="en-US" w:eastAsia="zh-CN" w:bidi="ar-SA"/>
        </w:rPr>
        <w:t>14</w:t>
      </w:r>
      <w:r>
        <w:rPr>
          <w:rFonts w:hint="eastAsia" w:ascii="Times New Roman" w:hAnsi="Times New Roman" w:eastAsia="宋体" w:cs="Times New Roman"/>
          <w:color w:val="000000"/>
          <w:kern w:val="2"/>
          <w:sz w:val="28"/>
          <w:szCs w:val="28"/>
          <w:highlight w:val="none"/>
          <w:lang w:val="en-US" w:eastAsia="zh-CN" w:bidi="ar-SA"/>
        </w:rPr>
        <w:t>吨，减少颗粒物</w:t>
      </w:r>
      <w:r>
        <w:rPr>
          <w:rFonts w:hint="eastAsia" w:cs="Times New Roman"/>
          <w:color w:val="000000"/>
          <w:kern w:val="2"/>
          <w:sz w:val="28"/>
          <w:szCs w:val="28"/>
          <w:highlight w:val="none"/>
          <w:lang w:val="en-US" w:eastAsia="zh-CN" w:bidi="ar-SA"/>
        </w:rPr>
        <w:t>115</w:t>
      </w:r>
      <w:r>
        <w:rPr>
          <w:rFonts w:hint="eastAsia" w:ascii="Times New Roman" w:hAnsi="Times New Roman" w:eastAsia="宋体" w:cs="Times New Roman"/>
          <w:color w:val="000000"/>
          <w:kern w:val="2"/>
          <w:sz w:val="28"/>
          <w:szCs w:val="28"/>
          <w:highlight w:val="none"/>
          <w:lang w:val="en-US" w:eastAsia="zh-CN" w:bidi="ar-SA"/>
        </w:rPr>
        <w:t>吨，有效降低了区域大气污染物排放，改善了空气质量。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保护生态环境：项目的实施减少了秸秆焚烧引发的火灾隐患，保护了森林资源和生态环境；生产过程中采用先进的环保措施，确保废水、噪声、固体废物等污染物达标排放，避免了二次污染。</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促进碳达峰、碳中和：生物质能源作为可再生能源，燃烧过程中CO₂排放量远低于化石能源，项目的实施有助于推动区域能源结构优化，减少碳排放，为实现碳达峰、碳中和目标作出贡献。</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35" w:name="_Toc30160"/>
      <w:bookmarkStart w:id="136" w:name="heading_98"/>
      <w:r>
        <w:rPr>
          <w:rFonts w:ascii="宋体" w:hAnsi="宋体" w:eastAsia="宋体" w:cs="宋体"/>
          <w:b/>
          <w:bCs/>
          <w:snapToGrid w:val="0"/>
          <w:color w:val="000000"/>
          <w:spacing w:val="4"/>
          <w:kern w:val="0"/>
          <w:sz w:val="30"/>
          <w:szCs w:val="30"/>
          <w:lang w:val="en-US" w:eastAsia="en-US" w:bidi="ar-SA"/>
        </w:rPr>
        <w:t>10.2 社会效益</w:t>
      </w:r>
      <w:bookmarkEnd w:id="135"/>
      <w:bookmarkEnd w:id="136"/>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项目的实施将产生良好的社会效益，主要包括：</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增加农民收入：通过农林废弃物回收利用，每吨秸秆可为农民增加收入100元，每吨林业废弃物可为农民增加收入120元有效提高了农民的经济收入。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促进就业创业：项目建成后，常年员工达到20人，可直接带动当地农村剩余劳动力就业；同时，项目的实施还将带动原料回收、运输、销售等相关行业的发展，间接创造更多就业岗位。</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提供农林废弃物处理模式：项目为区域农林废弃物处理提供了可复制、可推广的模式，有效解决了农林废弃物处理难题，对实现平山县生态循环农业战略具有巨大的推动作用。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带动相关产业链发展：项目核心为新能源利用工程，可辐射带动种植、养殖、能源、运输等相关产业的发展，形成“五统一分三可控”的产业链发展模式，促进农村经济结构优化升级。</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促进生态文明建设：项目的实施推动了清洁能源替代，改善了农村能源消费结构，减少了化石能源依赖，促进了生态文明建设和乡村振兴战略实施；同时，通过宣传推广生物质能源利用技术，提高了农民的环保意识和节能意识。</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37" w:name="heading_99"/>
      <w:bookmarkStart w:id="138" w:name="_Toc12662"/>
      <w:r>
        <w:rPr>
          <w:rFonts w:ascii="宋体" w:hAnsi="宋体" w:eastAsia="宋体" w:cs="宋体"/>
          <w:b/>
          <w:bCs/>
          <w:snapToGrid w:val="0"/>
          <w:color w:val="000000"/>
          <w:spacing w:val="4"/>
          <w:kern w:val="0"/>
          <w:sz w:val="30"/>
          <w:szCs w:val="30"/>
          <w:lang w:val="en-US" w:eastAsia="en-US" w:bidi="ar-SA"/>
        </w:rPr>
        <w:t>10.3 经济效益</w:t>
      </w:r>
      <w:bookmarkEnd w:id="137"/>
      <w:bookmarkEnd w:id="138"/>
    </w:p>
    <w:p>
      <w:pPr>
        <w:spacing w:before="260" w:after="120" w:line="288" w:lineRule="auto"/>
        <w:ind w:left="0"/>
        <w:jc w:val="left"/>
        <w:outlineLvl w:val="9"/>
      </w:pPr>
      <w:bookmarkStart w:id="139" w:name="heading_100"/>
      <w:r>
        <w:rPr>
          <w:rFonts w:ascii="Arial" w:hAnsi="Arial" w:eastAsia="等线" w:cs="Arial"/>
          <w:b/>
          <w:sz w:val="28"/>
        </w:rPr>
        <w:t>10.3.1 营业收入</w:t>
      </w:r>
      <w:bookmarkEnd w:id="139"/>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项目年生产生物质颗粒</w:t>
      </w:r>
      <w:r>
        <w:rPr>
          <w:rFonts w:hint="eastAsia" w:cs="Times New Roman"/>
          <w:color w:val="000000"/>
          <w:kern w:val="2"/>
          <w:sz w:val="28"/>
          <w:szCs w:val="28"/>
          <w:highlight w:val="none"/>
          <w:lang w:val="en-US" w:eastAsia="zh-CN" w:bidi="ar-SA"/>
        </w:rPr>
        <w:t>1</w:t>
      </w:r>
      <w:r>
        <w:rPr>
          <w:rFonts w:hint="eastAsia" w:ascii="Times New Roman" w:hAnsi="Times New Roman" w:eastAsia="宋体" w:cs="Times New Roman"/>
          <w:color w:val="000000"/>
          <w:kern w:val="2"/>
          <w:sz w:val="28"/>
          <w:szCs w:val="28"/>
          <w:highlight w:val="none"/>
          <w:lang w:val="en-US" w:eastAsia="zh-CN" w:bidi="ar-SA"/>
        </w:rPr>
        <w:t>万吨，按市场价格</w:t>
      </w:r>
      <w:r>
        <w:rPr>
          <w:rFonts w:hint="eastAsia" w:cs="Times New Roman"/>
          <w:color w:val="000000"/>
          <w:kern w:val="2"/>
          <w:sz w:val="28"/>
          <w:szCs w:val="28"/>
          <w:highlight w:val="none"/>
          <w:lang w:val="en-US" w:eastAsia="zh-CN" w:bidi="ar-SA"/>
        </w:rPr>
        <w:t>85</w:t>
      </w:r>
      <w:r>
        <w:rPr>
          <w:rFonts w:hint="eastAsia" w:ascii="Times New Roman" w:hAnsi="Times New Roman" w:eastAsia="宋体" w:cs="Times New Roman"/>
          <w:color w:val="000000"/>
          <w:kern w:val="2"/>
          <w:sz w:val="28"/>
          <w:szCs w:val="28"/>
          <w:highlight w:val="none"/>
          <w:lang w:val="en-US" w:eastAsia="zh-CN" w:bidi="ar-SA"/>
        </w:rPr>
        <w:t>0元/吨计算，年营业收入约</w:t>
      </w:r>
      <w:r>
        <w:rPr>
          <w:rFonts w:hint="eastAsia" w:cs="Times New Roman"/>
          <w:color w:val="000000"/>
          <w:kern w:val="2"/>
          <w:sz w:val="28"/>
          <w:szCs w:val="28"/>
          <w:highlight w:val="none"/>
          <w:lang w:val="en-US" w:eastAsia="zh-CN" w:bidi="ar-SA"/>
        </w:rPr>
        <w:t>850</w:t>
      </w:r>
      <w:r>
        <w:rPr>
          <w:rFonts w:hint="eastAsia" w:ascii="Times New Roman" w:hAnsi="Times New Roman" w:eastAsia="宋体" w:cs="Times New Roman"/>
          <w:color w:val="000000"/>
          <w:kern w:val="2"/>
          <w:sz w:val="28"/>
          <w:szCs w:val="28"/>
          <w:highlight w:val="none"/>
          <w:lang w:val="en-US" w:eastAsia="zh-CN" w:bidi="ar-SA"/>
        </w:rPr>
        <w:t>万元</w:t>
      </w:r>
      <w:r>
        <w:rPr>
          <w:rFonts w:hint="eastAsia" w:cs="Times New Roman"/>
          <w:color w:val="000000"/>
          <w:kern w:val="2"/>
          <w:sz w:val="28"/>
          <w:szCs w:val="28"/>
          <w:highlight w:val="none"/>
          <w:lang w:val="en-US" w:eastAsia="zh-CN" w:bidi="ar-SA"/>
        </w:rPr>
        <w:t>。</w:t>
      </w:r>
    </w:p>
    <w:p>
      <w:pPr>
        <w:spacing w:before="260" w:after="120" w:line="288" w:lineRule="auto"/>
        <w:ind w:left="0"/>
        <w:jc w:val="left"/>
        <w:outlineLvl w:val="9"/>
      </w:pPr>
      <w:bookmarkStart w:id="140" w:name="heading_101"/>
      <w:r>
        <w:rPr>
          <w:rFonts w:ascii="Arial" w:hAnsi="Arial" w:eastAsia="等线" w:cs="Arial"/>
          <w:b/>
          <w:sz w:val="28"/>
        </w:rPr>
        <w:t>10.3.2 总成本费用</w:t>
      </w:r>
      <w:bookmarkEnd w:id="140"/>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highlight w:val="none"/>
          <w:lang w:val="en-US" w:eastAsia="zh-CN" w:bidi="ar-SA"/>
        </w:rPr>
      </w:pPr>
      <w:r>
        <w:rPr>
          <w:rFonts w:hint="eastAsia" w:ascii="Times New Roman" w:hAnsi="Times New Roman" w:eastAsia="宋体" w:cs="Times New Roman"/>
          <w:color w:val="000000"/>
          <w:kern w:val="2"/>
          <w:sz w:val="28"/>
          <w:szCs w:val="28"/>
          <w:highlight w:val="none"/>
          <w:lang w:val="en-US" w:eastAsia="zh-CN" w:bidi="ar-SA"/>
        </w:rPr>
        <w:t>直接生产成本：年直接生产成本约</w:t>
      </w:r>
      <w:r>
        <w:rPr>
          <w:rFonts w:hint="eastAsia" w:cs="Times New Roman"/>
          <w:color w:val="000000"/>
          <w:kern w:val="2"/>
          <w:sz w:val="28"/>
          <w:szCs w:val="28"/>
          <w:highlight w:val="none"/>
          <w:lang w:val="en-US" w:eastAsia="zh-CN" w:bidi="ar-SA"/>
        </w:rPr>
        <w:t>700</w:t>
      </w:r>
      <w:r>
        <w:rPr>
          <w:rFonts w:hint="eastAsia" w:ascii="Times New Roman" w:hAnsi="Times New Roman" w:eastAsia="宋体" w:cs="Times New Roman"/>
          <w:color w:val="000000"/>
          <w:kern w:val="2"/>
          <w:sz w:val="28"/>
          <w:szCs w:val="28"/>
          <w:highlight w:val="none"/>
          <w:lang w:val="en-US" w:eastAsia="zh-CN" w:bidi="ar-SA"/>
        </w:rPr>
        <w:t>万元，包括原料费</w:t>
      </w:r>
      <w:r>
        <w:rPr>
          <w:rFonts w:hint="eastAsia" w:cs="Times New Roman"/>
          <w:color w:val="000000"/>
          <w:kern w:val="2"/>
          <w:sz w:val="28"/>
          <w:szCs w:val="28"/>
          <w:highlight w:val="none"/>
          <w:lang w:val="en-US" w:eastAsia="zh-CN" w:bidi="ar-SA"/>
        </w:rPr>
        <w:t>600</w:t>
      </w:r>
      <w:r>
        <w:rPr>
          <w:rFonts w:hint="eastAsia" w:ascii="Times New Roman" w:hAnsi="Times New Roman" w:eastAsia="宋体" w:cs="Times New Roman"/>
          <w:color w:val="000000"/>
          <w:kern w:val="2"/>
          <w:sz w:val="28"/>
          <w:szCs w:val="28"/>
          <w:highlight w:val="none"/>
          <w:lang w:val="en-US" w:eastAsia="zh-CN" w:bidi="ar-SA"/>
        </w:rPr>
        <w:t>万元（</w:t>
      </w:r>
      <w:r>
        <w:rPr>
          <w:rFonts w:hint="eastAsia" w:cs="Times New Roman"/>
          <w:color w:val="000000"/>
          <w:kern w:val="2"/>
          <w:sz w:val="28"/>
          <w:szCs w:val="28"/>
          <w:highlight w:val="none"/>
          <w:lang w:val="en-US" w:eastAsia="zh-CN" w:bidi="ar-SA"/>
        </w:rPr>
        <w:t>1.5</w:t>
      </w:r>
      <w:r>
        <w:rPr>
          <w:rFonts w:hint="eastAsia" w:ascii="Times New Roman" w:hAnsi="Times New Roman" w:eastAsia="宋体" w:cs="Times New Roman"/>
          <w:color w:val="000000"/>
          <w:kern w:val="2"/>
          <w:sz w:val="28"/>
          <w:szCs w:val="28"/>
          <w:highlight w:val="none"/>
          <w:lang w:val="en-US" w:eastAsia="zh-CN" w:bidi="ar-SA"/>
        </w:rPr>
        <w:t>万吨×400元/吨）、动力费</w:t>
      </w:r>
      <w:r>
        <w:rPr>
          <w:rFonts w:hint="eastAsia" w:cs="Times New Roman"/>
          <w:color w:val="000000"/>
          <w:kern w:val="2"/>
          <w:sz w:val="28"/>
          <w:szCs w:val="28"/>
          <w:highlight w:val="none"/>
          <w:lang w:val="en-US" w:eastAsia="zh-CN" w:bidi="ar-SA"/>
        </w:rPr>
        <w:t>20</w:t>
      </w:r>
      <w:r>
        <w:rPr>
          <w:rFonts w:hint="eastAsia" w:ascii="Times New Roman" w:hAnsi="Times New Roman" w:eastAsia="宋体" w:cs="Times New Roman"/>
          <w:color w:val="000000"/>
          <w:kern w:val="2"/>
          <w:sz w:val="28"/>
          <w:szCs w:val="28"/>
          <w:highlight w:val="none"/>
          <w:lang w:val="en-US" w:eastAsia="zh-CN" w:bidi="ar-SA"/>
        </w:rPr>
        <w:t>万元、工资福利费</w:t>
      </w:r>
      <w:r>
        <w:rPr>
          <w:rFonts w:hint="eastAsia" w:cs="Times New Roman"/>
          <w:color w:val="000000"/>
          <w:kern w:val="2"/>
          <w:sz w:val="28"/>
          <w:szCs w:val="28"/>
          <w:highlight w:val="none"/>
          <w:lang w:val="en-US" w:eastAsia="zh-CN" w:bidi="ar-SA"/>
        </w:rPr>
        <w:t>8</w:t>
      </w:r>
      <w:r>
        <w:rPr>
          <w:rFonts w:hint="eastAsia" w:ascii="Times New Roman" w:hAnsi="Times New Roman" w:eastAsia="宋体" w:cs="Times New Roman"/>
          <w:color w:val="000000"/>
          <w:kern w:val="2"/>
          <w:sz w:val="28"/>
          <w:szCs w:val="28"/>
          <w:highlight w:val="none"/>
          <w:lang w:val="en-US" w:eastAsia="zh-CN" w:bidi="ar-SA"/>
        </w:rPr>
        <w:t>0万元（</w:t>
      </w:r>
      <w:r>
        <w:rPr>
          <w:rFonts w:hint="eastAsia" w:cs="Times New Roman"/>
          <w:color w:val="000000"/>
          <w:kern w:val="2"/>
          <w:sz w:val="28"/>
          <w:szCs w:val="28"/>
          <w:highlight w:val="none"/>
          <w:lang w:val="en-US" w:eastAsia="zh-CN" w:bidi="ar-SA"/>
        </w:rPr>
        <w:t>20</w:t>
      </w:r>
      <w:r>
        <w:rPr>
          <w:rFonts w:hint="eastAsia" w:ascii="Times New Roman" w:hAnsi="Times New Roman" w:eastAsia="宋体" w:cs="Times New Roman"/>
          <w:color w:val="000000"/>
          <w:kern w:val="2"/>
          <w:sz w:val="28"/>
          <w:szCs w:val="28"/>
          <w:highlight w:val="none"/>
          <w:lang w:val="en-US" w:eastAsia="zh-CN" w:bidi="ar-SA"/>
        </w:rPr>
        <w:t>人×</w:t>
      </w:r>
      <w:r>
        <w:rPr>
          <w:rFonts w:hint="eastAsia" w:cs="Times New Roman"/>
          <w:color w:val="000000"/>
          <w:kern w:val="2"/>
          <w:sz w:val="28"/>
          <w:szCs w:val="28"/>
          <w:highlight w:val="none"/>
          <w:lang w:val="en-US" w:eastAsia="zh-CN" w:bidi="ar-SA"/>
        </w:rPr>
        <w:t>4</w:t>
      </w:r>
      <w:r>
        <w:rPr>
          <w:rFonts w:hint="eastAsia" w:ascii="Times New Roman" w:hAnsi="Times New Roman" w:eastAsia="宋体" w:cs="Times New Roman"/>
          <w:color w:val="000000"/>
          <w:kern w:val="2"/>
          <w:sz w:val="28"/>
          <w:szCs w:val="28"/>
          <w:highlight w:val="none"/>
          <w:lang w:val="en-US" w:eastAsia="zh-CN" w:bidi="ar-SA"/>
        </w:rPr>
        <w:t>万元/人）。</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t>其他费用：包括维修费用、销售费用、管理费用，其中维修费用按折旧费的20%计提，为</w:t>
      </w:r>
      <w:r>
        <w:rPr>
          <w:rFonts w:hint="eastAsia" w:cs="Times New Roman"/>
          <w:color w:val="000000"/>
          <w:kern w:val="2"/>
          <w:sz w:val="28"/>
          <w:szCs w:val="28"/>
          <w:lang w:val="en-US" w:eastAsia="zh-CN" w:bidi="ar-SA"/>
        </w:rPr>
        <w:t>4.19</w:t>
      </w:r>
      <w:r>
        <w:rPr>
          <w:rFonts w:hint="eastAsia" w:ascii="Times New Roman" w:hAnsi="Times New Roman" w:eastAsia="宋体" w:cs="Times New Roman"/>
          <w:color w:val="000000"/>
          <w:kern w:val="2"/>
          <w:sz w:val="28"/>
          <w:szCs w:val="28"/>
          <w:lang w:val="en-US" w:eastAsia="zh-CN" w:bidi="ar-SA"/>
        </w:rPr>
        <w:t>万元；销售费用按销售收入的</w:t>
      </w:r>
      <w:r>
        <w:rPr>
          <w:rFonts w:hint="eastAsia" w:cs="Times New Roman"/>
          <w:color w:val="000000"/>
          <w:kern w:val="2"/>
          <w:sz w:val="28"/>
          <w:szCs w:val="28"/>
          <w:lang w:val="en-US" w:eastAsia="zh-CN" w:bidi="ar-SA"/>
        </w:rPr>
        <w:t>5</w:t>
      </w:r>
      <w:r>
        <w:rPr>
          <w:rFonts w:hint="eastAsia" w:ascii="Times New Roman" w:hAnsi="Times New Roman" w:eastAsia="宋体" w:cs="Times New Roman"/>
          <w:color w:val="000000"/>
          <w:kern w:val="2"/>
          <w:sz w:val="28"/>
          <w:szCs w:val="28"/>
          <w:lang w:val="en-US" w:eastAsia="zh-CN" w:bidi="ar-SA"/>
        </w:rPr>
        <w:t>%计提，为</w:t>
      </w:r>
      <w:r>
        <w:rPr>
          <w:rFonts w:hint="eastAsia" w:cs="Times New Roman"/>
          <w:color w:val="000000"/>
          <w:kern w:val="2"/>
          <w:sz w:val="28"/>
          <w:szCs w:val="28"/>
          <w:lang w:val="en-US" w:eastAsia="zh-CN" w:bidi="ar-SA"/>
        </w:rPr>
        <w:t>37.5</w:t>
      </w:r>
      <w:r>
        <w:rPr>
          <w:rFonts w:hint="eastAsia" w:ascii="Times New Roman" w:hAnsi="Times New Roman" w:eastAsia="宋体" w:cs="Times New Roman"/>
          <w:color w:val="000000"/>
          <w:kern w:val="2"/>
          <w:sz w:val="28"/>
          <w:szCs w:val="28"/>
          <w:lang w:val="en-US" w:eastAsia="zh-CN" w:bidi="ar-SA"/>
        </w:rPr>
        <w:t>万元；管理费用按销售收入的1%计提，为</w:t>
      </w:r>
      <w:r>
        <w:rPr>
          <w:rFonts w:hint="eastAsia" w:cs="Times New Roman"/>
          <w:color w:val="000000"/>
          <w:kern w:val="2"/>
          <w:sz w:val="28"/>
          <w:szCs w:val="28"/>
          <w:lang w:val="en-US" w:eastAsia="zh-CN" w:bidi="ar-SA"/>
        </w:rPr>
        <w:t>7.5</w:t>
      </w:r>
      <w:r>
        <w:rPr>
          <w:rFonts w:hint="eastAsia" w:ascii="Times New Roman" w:hAnsi="Times New Roman" w:eastAsia="宋体" w:cs="Times New Roman"/>
          <w:color w:val="000000"/>
          <w:kern w:val="2"/>
          <w:sz w:val="28"/>
          <w:szCs w:val="28"/>
          <w:lang w:val="en-US" w:eastAsia="zh-CN" w:bidi="ar-SA"/>
        </w:rPr>
        <w:t>万元。</w:t>
      </w:r>
    </w:p>
    <w:p>
      <w:pPr>
        <w:rPr>
          <w:rFonts w:hint="eastAsia" w:ascii="Times New Roman" w:hAnsi="Times New Roman" w:eastAsia="宋体" w:cs="Times New Roman"/>
          <w:color w:val="000000"/>
          <w:kern w:val="2"/>
          <w:sz w:val="28"/>
          <w:szCs w:val="28"/>
          <w:lang w:val="en-US" w:eastAsia="zh-CN" w:bidi="ar-SA"/>
        </w:rPr>
      </w:pPr>
      <w:r>
        <w:rPr>
          <w:rFonts w:hint="eastAsia" w:ascii="Times New Roman" w:hAnsi="Times New Roman" w:eastAsia="宋体" w:cs="Times New Roman"/>
          <w:color w:val="000000"/>
          <w:kern w:val="2"/>
          <w:sz w:val="28"/>
          <w:szCs w:val="28"/>
          <w:lang w:val="en-US" w:eastAsia="zh-CN" w:bidi="ar-SA"/>
        </w:rPr>
        <w:br w:type="page"/>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宋体" w:cs="Times New Roman"/>
          <w:color w:val="000000"/>
          <w:kern w:val="2"/>
          <w:sz w:val="28"/>
          <w:szCs w:val="28"/>
          <w:lang w:val="en-US" w:eastAsia="zh-CN" w:bidi="ar-SA"/>
        </w:rPr>
      </w:pPr>
    </w:p>
    <w:p>
      <w:pPr>
        <w:pStyle w:val="4"/>
        <w:spacing w:line="315" w:lineRule="auto"/>
      </w:pPr>
      <w:bookmarkStart w:id="141" w:name="heading_105"/>
    </w:p>
    <w:p>
      <w:pPr>
        <w:widowControl/>
        <w:kinsoku w:val="0"/>
        <w:autoSpaceDE w:val="0"/>
        <w:autoSpaceDN w:val="0"/>
        <w:adjustRightInd w:val="0"/>
        <w:snapToGrid w:val="0"/>
        <w:spacing w:before="124" w:line="223" w:lineRule="auto"/>
        <w:jc w:val="center"/>
        <w:textAlignment w:val="baseline"/>
        <w:outlineLvl w:val="0"/>
        <w:rPr>
          <w:rFonts w:ascii="宋体" w:hAnsi="宋体" w:eastAsia="宋体" w:cs="宋体"/>
          <w:b/>
          <w:bCs/>
          <w:snapToGrid w:val="0"/>
          <w:color w:val="000000"/>
          <w:spacing w:val="9"/>
          <w:kern w:val="0"/>
          <w:sz w:val="38"/>
          <w:szCs w:val="38"/>
          <w:lang w:val="en-US" w:eastAsia="en-US" w:bidi="ar-SA"/>
        </w:rPr>
      </w:pPr>
      <w:bookmarkStart w:id="142" w:name="bookmark49"/>
      <w:bookmarkEnd w:id="142"/>
      <w:bookmarkStart w:id="143" w:name="bookmark48"/>
      <w:bookmarkEnd w:id="143"/>
      <w:bookmarkStart w:id="144" w:name="_Toc19669"/>
      <w:r>
        <w:rPr>
          <w:rFonts w:ascii="宋体" w:hAnsi="宋体" w:eastAsia="宋体" w:cs="宋体"/>
          <w:b/>
          <w:bCs/>
          <w:snapToGrid w:val="0"/>
          <w:color w:val="000000"/>
          <w:spacing w:val="9"/>
          <w:kern w:val="0"/>
          <w:sz w:val="38"/>
          <w:szCs w:val="38"/>
          <w:lang w:val="en-US" w:eastAsia="en-US" w:bidi="ar-SA"/>
        </w:rPr>
        <w:t>第十一章 项目组织管理</w:t>
      </w:r>
      <w:bookmarkEnd w:id="144"/>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45" w:name="bookmark72"/>
      <w:bookmarkEnd w:id="145"/>
      <w:bookmarkStart w:id="146" w:name="_Toc3704"/>
      <w:r>
        <w:rPr>
          <w:rFonts w:ascii="宋体" w:hAnsi="宋体" w:eastAsia="宋体" w:cs="宋体"/>
          <w:b/>
          <w:bCs/>
          <w:snapToGrid w:val="0"/>
          <w:color w:val="000000"/>
          <w:spacing w:val="4"/>
          <w:kern w:val="0"/>
          <w:sz w:val="30"/>
          <w:szCs w:val="30"/>
          <w:lang w:val="en-US" w:eastAsia="en-US" w:bidi="ar-SA"/>
        </w:rPr>
        <w:t>11.1项目建设期的组织与管理</w:t>
      </w:r>
      <w:bookmarkEnd w:id="146"/>
    </w:p>
    <w:p>
      <w:pPr>
        <w:pStyle w:val="4"/>
        <w:spacing w:line="303" w:lineRule="auto"/>
      </w:pPr>
    </w:p>
    <w:p>
      <w:pPr>
        <w:spacing w:before="92" w:line="420" w:lineRule="auto"/>
        <w:ind w:left="24" w:right="227" w:firstLine="578"/>
        <w:rPr>
          <w:rFonts w:ascii="宋体" w:hAnsi="宋体" w:eastAsia="宋体" w:cs="宋体"/>
          <w:sz w:val="28"/>
          <w:szCs w:val="28"/>
        </w:rPr>
      </w:pPr>
      <w:r>
        <w:rPr>
          <w:rFonts w:ascii="宋体" w:hAnsi="宋体" w:eastAsia="宋体" w:cs="宋体"/>
          <w:spacing w:val="-3"/>
          <w:sz w:val="28"/>
          <w:szCs w:val="28"/>
        </w:rPr>
        <w:t>本项目运行管理纳入实施单位的整个生产管理</w:t>
      </w:r>
      <w:r>
        <w:rPr>
          <w:rFonts w:ascii="宋体" w:hAnsi="宋体" w:eastAsia="宋体" w:cs="宋体"/>
          <w:spacing w:val="-4"/>
          <w:sz w:val="28"/>
          <w:szCs w:val="28"/>
        </w:rPr>
        <w:t>之中，并设立部门负责本项目</w:t>
      </w:r>
      <w:r>
        <w:rPr>
          <w:rFonts w:ascii="宋体" w:hAnsi="宋体" w:eastAsia="宋体" w:cs="宋体"/>
          <w:spacing w:val="-10"/>
          <w:sz w:val="28"/>
          <w:szCs w:val="28"/>
        </w:rPr>
        <w:t>的运行。</w:t>
      </w:r>
    </w:p>
    <w:p>
      <w:pPr>
        <w:spacing w:before="86" w:line="220" w:lineRule="auto"/>
        <w:ind w:left="621"/>
        <w:rPr>
          <w:rFonts w:ascii="宋体" w:hAnsi="宋体" w:eastAsia="宋体" w:cs="宋体"/>
          <w:sz w:val="28"/>
          <w:szCs w:val="28"/>
        </w:rPr>
      </w:pPr>
      <w:r>
        <w:rPr>
          <w:rFonts w:ascii="宋体" w:hAnsi="宋体" w:eastAsia="宋体" w:cs="宋体"/>
          <w:spacing w:val="-5"/>
          <w:sz w:val="28"/>
          <w:szCs w:val="28"/>
        </w:rPr>
        <w:t>1、项目建设期间的组织与管理</w:t>
      </w:r>
    </w:p>
    <w:p>
      <w:pPr>
        <w:pStyle w:val="4"/>
        <w:spacing w:line="247" w:lineRule="auto"/>
      </w:pPr>
    </w:p>
    <w:p>
      <w:pPr>
        <w:spacing w:before="91" w:line="418" w:lineRule="auto"/>
        <w:ind w:left="2" w:right="2" w:firstLine="601"/>
        <w:jc w:val="both"/>
        <w:rPr>
          <w:rFonts w:ascii="宋体" w:hAnsi="宋体" w:eastAsia="宋体" w:cs="宋体"/>
          <w:sz w:val="28"/>
          <w:szCs w:val="28"/>
        </w:rPr>
      </w:pPr>
      <w:r>
        <w:rPr>
          <w:rFonts w:ascii="宋体" w:hAnsi="宋体" w:eastAsia="宋体" w:cs="宋体"/>
          <w:spacing w:val="-4"/>
          <w:sz w:val="28"/>
          <w:szCs w:val="28"/>
        </w:rPr>
        <w:t>为保障项目的顺利实施，由平山县森建科技有限公司成立项目领导小组，负</w:t>
      </w:r>
      <w:r>
        <w:rPr>
          <w:rFonts w:ascii="宋体" w:hAnsi="宋体" w:eastAsia="宋体" w:cs="宋体"/>
          <w:spacing w:val="-2"/>
          <w:sz w:val="28"/>
          <w:szCs w:val="28"/>
        </w:rPr>
        <w:t>责项目的组织管理和施工进度监督等重要工作。同时成立由公司技术人员</w:t>
      </w:r>
      <w:r>
        <w:rPr>
          <w:rFonts w:ascii="宋体" w:hAnsi="宋体" w:eastAsia="宋体" w:cs="宋体"/>
          <w:spacing w:val="-3"/>
          <w:sz w:val="28"/>
          <w:szCs w:val="28"/>
        </w:rPr>
        <w:t>和技术</w:t>
      </w:r>
      <w:r>
        <w:rPr>
          <w:rFonts w:ascii="宋体" w:hAnsi="宋体" w:eastAsia="宋体" w:cs="宋体"/>
          <w:spacing w:val="-2"/>
          <w:sz w:val="28"/>
          <w:szCs w:val="28"/>
        </w:rPr>
        <w:t>依托单位技术人员、专业施工队与公司负责人共同组成的项目实施小组，</w:t>
      </w:r>
      <w:r>
        <w:rPr>
          <w:rFonts w:ascii="宋体" w:hAnsi="宋体" w:eastAsia="宋体" w:cs="宋体"/>
          <w:spacing w:val="-3"/>
          <w:sz w:val="28"/>
          <w:szCs w:val="28"/>
        </w:rPr>
        <w:t>负责项目的全面建设工作。</w:t>
      </w:r>
    </w:p>
    <w:p>
      <w:pPr>
        <w:spacing w:before="87" w:line="418" w:lineRule="auto"/>
        <w:ind w:left="1" w:firstLine="597"/>
        <w:jc w:val="both"/>
        <w:rPr>
          <w:rFonts w:ascii="宋体" w:hAnsi="宋体" w:eastAsia="宋体" w:cs="宋体"/>
          <w:sz w:val="28"/>
          <w:szCs w:val="28"/>
        </w:rPr>
      </w:pPr>
      <w:r>
        <w:rPr>
          <w:rFonts w:ascii="宋体" w:hAnsi="宋体" w:eastAsia="宋体" w:cs="宋体"/>
          <w:spacing w:val="-3"/>
          <w:sz w:val="28"/>
          <w:szCs w:val="28"/>
        </w:rPr>
        <w:t>在项目施工方面，项目建设按照相关国家或行业标准，项</w:t>
      </w:r>
      <w:r>
        <w:rPr>
          <w:rFonts w:ascii="宋体" w:hAnsi="宋体" w:eastAsia="宋体" w:cs="宋体"/>
          <w:spacing w:val="-4"/>
          <w:sz w:val="28"/>
          <w:szCs w:val="28"/>
        </w:rPr>
        <w:t>目施工采用招投标</w:t>
      </w:r>
      <w:r>
        <w:rPr>
          <w:rFonts w:ascii="宋体" w:hAnsi="宋体" w:eastAsia="宋体" w:cs="宋体"/>
          <w:spacing w:val="-2"/>
          <w:sz w:val="28"/>
          <w:szCs w:val="28"/>
        </w:rPr>
        <w:t>制，严格按照要求，由有资质的单位施工，并且具备有较好的施工经验；建</w:t>
      </w:r>
      <w:r>
        <w:rPr>
          <w:rFonts w:ascii="宋体" w:hAnsi="宋体" w:eastAsia="宋体" w:cs="宋体"/>
          <w:spacing w:val="-3"/>
          <w:sz w:val="28"/>
          <w:szCs w:val="28"/>
        </w:rPr>
        <w:t>成后</w:t>
      </w:r>
      <w:r>
        <w:rPr>
          <w:rFonts w:ascii="宋体" w:hAnsi="宋体" w:eastAsia="宋体" w:cs="宋体"/>
          <w:spacing w:val="-2"/>
          <w:sz w:val="28"/>
          <w:szCs w:val="28"/>
        </w:rPr>
        <w:t>的运行管理，由业主选择文化素质高、业务好、经验丰富的人员并负责进行</w:t>
      </w:r>
      <w:r>
        <w:rPr>
          <w:rFonts w:ascii="宋体" w:hAnsi="宋体" w:eastAsia="宋体" w:cs="宋体"/>
          <w:spacing w:val="-3"/>
          <w:sz w:val="28"/>
          <w:szCs w:val="28"/>
        </w:rPr>
        <w:t>专业</w:t>
      </w:r>
      <w:r>
        <w:rPr>
          <w:rFonts w:ascii="宋体" w:hAnsi="宋体" w:eastAsia="宋体" w:cs="宋体"/>
          <w:spacing w:val="-4"/>
          <w:sz w:val="28"/>
          <w:szCs w:val="28"/>
        </w:rPr>
        <w:t>技术培训。</w:t>
      </w:r>
    </w:p>
    <w:p>
      <w:pPr>
        <w:spacing w:before="89" w:line="418" w:lineRule="auto"/>
        <w:ind w:right="2" w:firstLine="598"/>
        <w:jc w:val="both"/>
        <w:rPr>
          <w:rFonts w:ascii="宋体" w:hAnsi="宋体" w:eastAsia="宋体" w:cs="宋体"/>
          <w:sz w:val="28"/>
          <w:szCs w:val="28"/>
        </w:rPr>
      </w:pPr>
      <w:r>
        <w:rPr>
          <w:rFonts w:ascii="宋体" w:hAnsi="宋体" w:eastAsia="宋体" w:cs="宋体"/>
          <w:spacing w:val="-3"/>
          <w:sz w:val="28"/>
          <w:szCs w:val="28"/>
        </w:rPr>
        <w:t>在项目资金管理方面，所有项目资金支出都要经负</w:t>
      </w:r>
      <w:r>
        <w:rPr>
          <w:rFonts w:ascii="宋体" w:hAnsi="宋体" w:eastAsia="宋体" w:cs="宋体"/>
          <w:spacing w:val="-4"/>
          <w:sz w:val="28"/>
          <w:szCs w:val="28"/>
        </w:rPr>
        <w:t>责人审查签字。项目财务</w:t>
      </w:r>
      <w:r>
        <w:rPr>
          <w:rFonts w:ascii="宋体" w:hAnsi="宋体" w:eastAsia="宋体" w:cs="宋体"/>
          <w:spacing w:val="-2"/>
          <w:sz w:val="28"/>
          <w:szCs w:val="28"/>
        </w:rPr>
        <w:t>人员必须按照制度认真审查凭证，如实、及时登记，填送财务报表，妥善保管财务档案。项目资金管理要接受审计部门和上级主管部门的审计监督。国家下拨的资金必须立专帐管理，专款专用，纳入项目统一管理、使用和核算。任何组织和</w:t>
      </w:r>
      <w:r>
        <w:rPr>
          <w:rFonts w:ascii="宋体" w:hAnsi="宋体" w:eastAsia="宋体" w:cs="宋体"/>
          <w:spacing w:val="-3"/>
          <w:sz w:val="28"/>
          <w:szCs w:val="28"/>
        </w:rPr>
        <w:t>个人不得截留、挤占和挪用项目资金。</w:t>
      </w:r>
    </w:p>
    <w:p>
      <w:pPr>
        <w:spacing w:before="91" w:line="220" w:lineRule="auto"/>
        <w:ind w:left="603"/>
        <w:rPr>
          <w:rFonts w:ascii="宋体" w:hAnsi="宋体" w:eastAsia="宋体" w:cs="宋体"/>
          <w:sz w:val="28"/>
          <w:szCs w:val="28"/>
        </w:rPr>
      </w:pPr>
      <w:r>
        <w:rPr>
          <w:rFonts w:ascii="宋体" w:hAnsi="宋体" w:eastAsia="宋体" w:cs="宋体"/>
          <w:spacing w:val="-3"/>
          <w:sz w:val="28"/>
          <w:szCs w:val="28"/>
        </w:rPr>
        <w:t>2、项目建设期后的组织与管理</w:t>
      </w:r>
    </w:p>
    <w:p>
      <w:pPr>
        <w:pStyle w:val="4"/>
        <w:spacing w:line="302" w:lineRule="auto"/>
      </w:pPr>
    </w:p>
    <w:p>
      <w:pPr>
        <w:spacing w:before="92" w:line="418" w:lineRule="auto"/>
        <w:ind w:left="2" w:right="2" w:firstLine="642"/>
        <w:jc w:val="both"/>
        <w:rPr>
          <w:rFonts w:ascii="宋体" w:hAnsi="宋体" w:eastAsia="宋体" w:cs="宋体"/>
          <w:sz w:val="28"/>
          <w:szCs w:val="28"/>
        </w:rPr>
      </w:pPr>
      <w:r>
        <w:rPr>
          <w:rFonts w:ascii="宋体" w:hAnsi="宋体" w:eastAsia="宋体" w:cs="宋体"/>
          <w:spacing w:val="-5"/>
          <w:sz w:val="28"/>
          <w:szCs w:val="28"/>
        </w:rPr>
        <w:t>良好的项目后期运行管理，是保障已建成项目效益持续发挥的重要条件。项</w:t>
      </w:r>
      <w:r>
        <w:rPr>
          <w:rFonts w:ascii="宋体" w:hAnsi="宋体" w:eastAsia="宋体" w:cs="宋体"/>
          <w:spacing w:val="-2"/>
          <w:sz w:val="28"/>
          <w:szCs w:val="28"/>
        </w:rPr>
        <w:t>目后续运行必须坚持的原则是“有法可依，有章可循；经费保障；产权清</w:t>
      </w:r>
      <w:r>
        <w:rPr>
          <w:rFonts w:ascii="宋体" w:hAnsi="宋体" w:eastAsia="宋体" w:cs="宋体"/>
          <w:spacing w:val="-3"/>
          <w:sz w:val="28"/>
          <w:szCs w:val="28"/>
        </w:rPr>
        <w:t>晰、职</w:t>
      </w:r>
      <w:r>
        <w:rPr>
          <w:rFonts w:ascii="宋体" w:hAnsi="宋体" w:eastAsia="宋体" w:cs="宋体"/>
          <w:spacing w:val="-2"/>
          <w:sz w:val="28"/>
          <w:szCs w:val="28"/>
        </w:rPr>
        <w:t>责明确、管理科学”。适应市场经济发展的要求，建立自主经营、自负盈</w:t>
      </w:r>
      <w:r>
        <w:rPr>
          <w:rFonts w:ascii="宋体" w:hAnsi="宋体" w:eastAsia="宋体" w:cs="宋体"/>
          <w:spacing w:val="-3"/>
          <w:sz w:val="28"/>
          <w:szCs w:val="28"/>
        </w:rPr>
        <w:t>亏、自</w:t>
      </w:r>
      <w:r>
        <w:rPr>
          <w:rFonts w:ascii="宋体" w:hAnsi="宋体" w:eastAsia="宋体" w:cs="宋体"/>
          <w:spacing w:val="-2"/>
          <w:sz w:val="28"/>
          <w:szCs w:val="28"/>
        </w:rPr>
        <w:t>我约束、自我发展的市场运行机制，最大限度地发挥建成项目的经济效益</w:t>
      </w:r>
      <w:r>
        <w:rPr>
          <w:rFonts w:ascii="宋体" w:hAnsi="宋体" w:eastAsia="宋体" w:cs="宋体"/>
          <w:spacing w:val="-3"/>
          <w:sz w:val="28"/>
          <w:szCs w:val="28"/>
        </w:rPr>
        <w:t>和社会</w:t>
      </w:r>
      <w:r>
        <w:rPr>
          <w:rFonts w:ascii="宋体" w:hAnsi="宋体" w:eastAsia="宋体" w:cs="宋体"/>
          <w:spacing w:val="-5"/>
          <w:sz w:val="28"/>
          <w:szCs w:val="28"/>
        </w:rPr>
        <w:t>效益。</w:t>
      </w:r>
    </w:p>
    <w:p>
      <w:pPr>
        <w:spacing w:before="91" w:line="417" w:lineRule="auto"/>
        <w:ind w:left="1" w:right="215" w:firstLine="598"/>
        <w:jc w:val="both"/>
        <w:rPr>
          <w:rFonts w:ascii="宋体" w:hAnsi="宋体" w:eastAsia="宋体" w:cs="宋体"/>
          <w:sz w:val="28"/>
          <w:szCs w:val="28"/>
        </w:rPr>
      </w:pPr>
      <w:r>
        <w:rPr>
          <w:rFonts w:ascii="宋体" w:hAnsi="宋体" w:eastAsia="宋体" w:cs="宋体"/>
          <w:spacing w:val="-3"/>
          <w:sz w:val="28"/>
          <w:szCs w:val="28"/>
        </w:rPr>
        <w:t>根据上述原则，首先要确定切实可行的项目运行</w:t>
      </w:r>
      <w:r>
        <w:rPr>
          <w:rFonts w:ascii="宋体" w:hAnsi="宋体" w:eastAsia="宋体" w:cs="宋体"/>
          <w:spacing w:val="-4"/>
          <w:sz w:val="28"/>
          <w:szCs w:val="28"/>
        </w:rPr>
        <w:t>计划。在项目建设后期，组</w:t>
      </w:r>
      <w:r>
        <w:rPr>
          <w:rFonts w:ascii="宋体" w:hAnsi="宋体" w:eastAsia="宋体" w:cs="宋体"/>
          <w:spacing w:val="-2"/>
          <w:sz w:val="28"/>
          <w:szCs w:val="28"/>
        </w:rPr>
        <w:t>织有关人员，结合该项目的特点，制定项目运行计划，同时要制定出《项目</w:t>
      </w:r>
      <w:r>
        <w:rPr>
          <w:rFonts w:ascii="宋体" w:hAnsi="宋体" w:eastAsia="宋体" w:cs="宋体"/>
          <w:spacing w:val="-3"/>
          <w:sz w:val="28"/>
          <w:szCs w:val="28"/>
        </w:rPr>
        <w:t>运行和管理办法》,使项目的后期运营有法可依，有章可循。</w:t>
      </w:r>
    </w:p>
    <w:p>
      <w:pPr>
        <w:spacing w:before="96" w:line="418" w:lineRule="auto"/>
        <w:ind w:left="4" w:right="215" w:firstLine="600"/>
        <w:jc w:val="both"/>
        <w:rPr>
          <w:rFonts w:ascii="宋体" w:hAnsi="宋体" w:eastAsia="宋体" w:cs="宋体"/>
          <w:sz w:val="28"/>
          <w:szCs w:val="28"/>
        </w:rPr>
      </w:pPr>
      <w:r>
        <w:rPr>
          <w:rFonts w:ascii="宋体" w:hAnsi="宋体" w:eastAsia="宋体" w:cs="宋体"/>
          <w:spacing w:val="-4"/>
          <w:sz w:val="28"/>
          <w:szCs w:val="28"/>
        </w:rPr>
        <w:t>项目完成后，由项目实施单位具体进行操作管理，实行独立核算，自负盈亏</w:t>
      </w:r>
      <w:r>
        <w:rPr>
          <w:rFonts w:ascii="宋体" w:hAnsi="宋体" w:eastAsia="宋体" w:cs="宋体"/>
          <w:spacing w:val="-2"/>
          <w:sz w:val="28"/>
          <w:szCs w:val="28"/>
        </w:rPr>
        <w:t>的管理经营模式，建立一套科学、完整、规范的经营机制和运行机制</w:t>
      </w:r>
      <w:r>
        <w:rPr>
          <w:rFonts w:ascii="宋体" w:hAnsi="宋体" w:eastAsia="宋体" w:cs="宋体"/>
          <w:spacing w:val="-3"/>
          <w:sz w:val="28"/>
          <w:szCs w:val="28"/>
        </w:rPr>
        <w:t>等环节协调发展，以达到生态环境和经济的良性循环。</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47" w:name="bookmark50"/>
      <w:bookmarkEnd w:id="147"/>
      <w:bookmarkStart w:id="148" w:name="_Toc21054"/>
      <w:r>
        <w:rPr>
          <w:rFonts w:ascii="宋体" w:hAnsi="宋体" w:eastAsia="宋体" w:cs="宋体"/>
          <w:b/>
          <w:bCs/>
          <w:snapToGrid w:val="0"/>
          <w:color w:val="000000"/>
          <w:spacing w:val="4"/>
          <w:kern w:val="0"/>
          <w:sz w:val="30"/>
          <w:szCs w:val="30"/>
          <w:lang w:val="en-US" w:eastAsia="en-US" w:bidi="ar-SA"/>
        </w:rPr>
        <w:t>11.2项目运行期的保障措施和创新机制</w:t>
      </w:r>
      <w:bookmarkEnd w:id="148"/>
    </w:p>
    <w:p>
      <w:pPr>
        <w:spacing w:before="117" w:line="418" w:lineRule="auto"/>
        <w:ind w:right="9" w:firstLine="620"/>
        <w:rPr>
          <w:rFonts w:ascii="宋体" w:hAnsi="宋体" w:eastAsia="宋体" w:cs="宋体"/>
          <w:sz w:val="28"/>
          <w:szCs w:val="28"/>
        </w:rPr>
      </w:pPr>
      <w:r>
        <w:rPr>
          <w:rFonts w:ascii="宋体" w:hAnsi="宋体" w:eastAsia="宋体" w:cs="宋体"/>
          <w:sz w:val="28"/>
          <w:szCs w:val="28"/>
        </w:rPr>
        <w:t>1、严格项目管理。一是项目建设过程中的设备质量、材料质量、施工质量</w:t>
      </w:r>
      <w:r>
        <w:rPr>
          <w:rFonts w:ascii="宋体" w:hAnsi="宋体" w:eastAsia="宋体" w:cs="宋体"/>
          <w:spacing w:val="-2"/>
          <w:sz w:val="28"/>
          <w:szCs w:val="28"/>
        </w:rPr>
        <w:t>和施工技术要求，加强检查监督，确保项目建设质量符合标准；二是严格资金管理，项目资金实行专帐管理，独立核算，专款专用，严格按照项目规定用途使用省级补贴资金，坚决杜绝重复享受财政补贴问题；三是狠抓项目安全建设，要从设计环节、施工环节、使用环节入手，建立安全生产管理制度，制定突发事件应</w:t>
      </w:r>
      <w:r>
        <w:rPr>
          <w:rFonts w:ascii="宋体" w:hAnsi="宋体" w:eastAsia="宋体" w:cs="宋体"/>
          <w:spacing w:val="-4"/>
          <w:sz w:val="28"/>
          <w:szCs w:val="28"/>
        </w:rPr>
        <w:t>急预案，安排专业技术人员负责工程管理和施工。发现安全隐患，立即组织整改，</w:t>
      </w:r>
      <w:r>
        <w:rPr>
          <w:rFonts w:ascii="宋体" w:hAnsi="宋体" w:eastAsia="宋体" w:cs="宋体"/>
          <w:spacing w:val="-3"/>
          <w:sz w:val="28"/>
          <w:szCs w:val="28"/>
        </w:rPr>
        <w:t>确保各项安全生产制度落到实处。</w:t>
      </w:r>
    </w:p>
    <w:p>
      <w:pPr>
        <w:spacing w:before="93" w:line="418" w:lineRule="auto"/>
        <w:ind w:right="212" w:firstLine="603"/>
        <w:rPr>
          <w:rFonts w:ascii="宋体" w:hAnsi="宋体" w:eastAsia="宋体" w:cs="宋体"/>
          <w:sz w:val="28"/>
          <w:szCs w:val="28"/>
        </w:rPr>
      </w:pPr>
      <w:r>
        <w:rPr>
          <w:rFonts w:ascii="宋体" w:hAnsi="宋体" w:eastAsia="宋体" w:cs="宋体"/>
          <w:spacing w:val="1"/>
          <w:sz w:val="28"/>
          <w:szCs w:val="28"/>
        </w:rPr>
        <w:t>2、做好项目自查自评，认真做好项目机制体制创新工作，探索</w:t>
      </w:r>
      <w:r>
        <w:rPr>
          <w:rFonts w:ascii="宋体" w:hAnsi="宋体" w:eastAsia="宋体" w:cs="宋体"/>
          <w:sz w:val="28"/>
          <w:szCs w:val="28"/>
        </w:rPr>
        <w:t>总结适宜推</w:t>
      </w:r>
      <w:r>
        <w:rPr>
          <w:rFonts w:ascii="宋体" w:hAnsi="宋体" w:eastAsia="宋体" w:cs="宋体"/>
          <w:spacing w:val="-2"/>
          <w:sz w:val="28"/>
          <w:szCs w:val="28"/>
        </w:rPr>
        <w:t>广的机制模式，形成可复制、可推广的经验做法及可持续的</w:t>
      </w:r>
      <w:r>
        <w:rPr>
          <w:rFonts w:ascii="宋体" w:hAnsi="宋体" w:eastAsia="宋体" w:cs="宋体"/>
          <w:spacing w:val="-3"/>
          <w:sz w:val="28"/>
          <w:szCs w:val="28"/>
        </w:rPr>
        <w:t>运行管护机制。</w:t>
      </w:r>
    </w:p>
    <w:p>
      <w:pPr>
        <w:spacing w:before="94" w:line="417" w:lineRule="auto"/>
        <w:ind w:left="3" w:right="105" w:firstLine="602"/>
        <w:rPr>
          <w:rFonts w:ascii="宋体" w:hAnsi="宋体" w:eastAsia="宋体" w:cs="宋体"/>
          <w:sz w:val="28"/>
          <w:szCs w:val="28"/>
        </w:rPr>
      </w:pPr>
      <w:r>
        <w:rPr>
          <w:rFonts w:ascii="宋体" w:hAnsi="宋体" w:eastAsia="宋体" w:cs="宋体"/>
          <w:spacing w:val="-4"/>
          <w:sz w:val="28"/>
          <w:szCs w:val="28"/>
        </w:rPr>
        <w:t>3、严格督导考核，按照“市验收，省核查”的方式</w:t>
      </w:r>
      <w:r>
        <w:rPr>
          <w:rFonts w:ascii="宋体" w:hAnsi="宋体" w:eastAsia="宋体" w:cs="宋体"/>
          <w:spacing w:val="-5"/>
          <w:sz w:val="28"/>
          <w:szCs w:val="28"/>
        </w:rPr>
        <w:t>开展试点项目年度考核，</w:t>
      </w:r>
      <w:r>
        <w:rPr>
          <w:rFonts w:ascii="宋体" w:hAnsi="宋体" w:eastAsia="宋体" w:cs="宋体"/>
          <w:spacing w:val="-2"/>
          <w:sz w:val="28"/>
          <w:szCs w:val="28"/>
        </w:rPr>
        <w:t>建立考核激励机制，不定期的组织开展工作督导和检</w:t>
      </w:r>
      <w:r>
        <w:rPr>
          <w:rFonts w:ascii="宋体" w:hAnsi="宋体" w:eastAsia="宋体" w:cs="宋体"/>
          <w:spacing w:val="-3"/>
          <w:sz w:val="28"/>
          <w:szCs w:val="28"/>
        </w:rPr>
        <w:t>查，进行阶段性考核评估。</w:t>
      </w:r>
    </w:p>
    <w:p>
      <w:pPr>
        <w:pStyle w:val="2"/>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b/>
          <w:bCs/>
          <w:snapToGrid w:val="0"/>
          <w:color w:val="000000"/>
          <w:spacing w:val="4"/>
          <w:kern w:val="0"/>
          <w:sz w:val="30"/>
          <w:szCs w:val="30"/>
          <w:lang w:val="en-US" w:eastAsia="en-US" w:bidi="ar-SA"/>
        </w:rPr>
      </w:pPr>
      <w:bookmarkStart w:id="149" w:name="bookmark53"/>
      <w:bookmarkEnd w:id="149"/>
      <w:bookmarkStart w:id="150" w:name="_Toc24845"/>
      <w:r>
        <w:rPr>
          <w:rFonts w:ascii="宋体" w:hAnsi="宋体" w:eastAsia="宋体" w:cs="宋体"/>
          <w:b/>
          <w:bCs/>
          <w:snapToGrid w:val="0"/>
          <w:color w:val="000000"/>
          <w:spacing w:val="4"/>
          <w:kern w:val="0"/>
          <w:sz w:val="30"/>
          <w:szCs w:val="30"/>
          <w:lang w:val="en-US" w:eastAsia="en-US" w:bidi="ar-SA"/>
        </w:rPr>
        <w:t>11.3项目验收与补贴资金的拨付</w:t>
      </w:r>
      <w:bookmarkEnd w:id="150"/>
    </w:p>
    <w:p>
      <w:pPr>
        <w:pStyle w:val="4"/>
        <w:spacing w:line="310" w:lineRule="auto"/>
      </w:pPr>
    </w:p>
    <w:p>
      <w:pPr>
        <w:spacing w:before="92" w:line="420" w:lineRule="auto"/>
        <w:ind w:left="46" w:firstLine="558"/>
        <w:rPr>
          <w:rFonts w:ascii="宋体" w:hAnsi="宋体" w:eastAsia="宋体" w:cs="宋体"/>
          <w:sz w:val="28"/>
          <w:szCs w:val="28"/>
        </w:rPr>
      </w:pPr>
      <w:r>
        <w:rPr>
          <w:rFonts w:ascii="宋体" w:hAnsi="宋体" w:eastAsia="宋体" w:cs="宋体"/>
          <w:spacing w:val="-5"/>
          <w:sz w:val="28"/>
          <w:szCs w:val="28"/>
        </w:rPr>
        <w:t>项目建成后，由项目实施单位组织相关单位进行自验并</w:t>
      </w:r>
      <w:r>
        <w:rPr>
          <w:rFonts w:ascii="宋体" w:hAnsi="宋体" w:eastAsia="宋体" w:cs="宋体"/>
          <w:spacing w:val="-6"/>
          <w:sz w:val="28"/>
          <w:szCs w:val="28"/>
        </w:rPr>
        <w:t>委托第三方进行审计，</w:t>
      </w:r>
      <w:r>
        <w:rPr>
          <w:rFonts w:ascii="宋体" w:hAnsi="宋体" w:eastAsia="宋体" w:cs="宋体"/>
          <w:spacing w:val="-3"/>
          <w:sz w:val="28"/>
          <w:szCs w:val="28"/>
        </w:rPr>
        <w:t>自验合格后，由项目实施单位向县项目领导小组提出验收申请</w:t>
      </w:r>
      <w:r>
        <w:rPr>
          <w:rFonts w:ascii="宋体" w:hAnsi="宋体" w:eastAsia="宋体" w:cs="宋体"/>
          <w:spacing w:val="-4"/>
          <w:sz w:val="28"/>
          <w:szCs w:val="28"/>
        </w:rPr>
        <w:t>，县项目领导小组</w:t>
      </w:r>
      <w:r>
        <w:rPr>
          <w:rFonts w:ascii="宋体" w:hAnsi="宋体" w:eastAsia="宋体" w:cs="宋体"/>
          <w:spacing w:val="-2"/>
          <w:sz w:val="28"/>
          <w:szCs w:val="28"/>
        </w:rPr>
        <w:t>组织进行初验，初验合格后，且审计资金满足项目资金使用政策要求，</w:t>
      </w:r>
      <w:r>
        <w:rPr>
          <w:rFonts w:ascii="宋体" w:hAnsi="宋体" w:eastAsia="宋体" w:cs="宋体"/>
          <w:spacing w:val="-3"/>
          <w:sz w:val="28"/>
          <w:szCs w:val="28"/>
        </w:rPr>
        <w:t>申请石家庄市农业农村局组织项目正式验收。</w:t>
      </w:r>
    </w:p>
    <w:p>
      <w:pPr>
        <w:spacing w:before="91" w:line="418" w:lineRule="auto"/>
        <w:ind w:firstLine="605"/>
        <w:rPr>
          <w:rFonts w:hint="eastAsia" w:ascii="宋体" w:hAnsi="宋体" w:eastAsia="宋体" w:cs="宋体"/>
          <w:sz w:val="28"/>
          <w:szCs w:val="28"/>
          <w:lang w:val="en-US" w:eastAsia="zh-CN"/>
        </w:rPr>
        <w:sectPr>
          <w:footerReference r:id="rId4" w:type="default"/>
          <w:pgSz w:w="11900" w:h="16840"/>
          <w:pgMar w:top="400" w:right="1078" w:bottom="730" w:left="1089" w:header="0" w:footer="484" w:gutter="0"/>
          <w:pgNumType w:fmt="numberInDash"/>
          <w:cols w:space="720" w:num="1"/>
        </w:sectPr>
      </w:pPr>
      <w:r>
        <w:rPr>
          <w:rFonts w:ascii="宋体" w:hAnsi="宋体" w:eastAsia="宋体" w:cs="宋体"/>
          <w:spacing w:val="-4"/>
          <w:sz w:val="28"/>
          <w:szCs w:val="28"/>
        </w:rPr>
        <w:t>项目资金按工程施工进度拨付。项目竣工后，由项目领导小组组织初验，初</w:t>
      </w:r>
      <w:r>
        <w:rPr>
          <w:rFonts w:ascii="宋体" w:hAnsi="宋体" w:eastAsia="宋体" w:cs="宋体"/>
          <w:spacing w:val="-3"/>
          <w:sz w:val="28"/>
          <w:szCs w:val="28"/>
        </w:rPr>
        <w:t>验合格后，将剩余资金一次性</w:t>
      </w:r>
      <w:r>
        <w:rPr>
          <w:rFonts w:hint="eastAsia" w:ascii="宋体" w:hAnsi="宋体" w:cs="宋体"/>
          <w:spacing w:val="-3"/>
          <w:sz w:val="28"/>
          <w:szCs w:val="28"/>
          <w:lang w:val="en-US" w:eastAsia="zh-CN"/>
        </w:rPr>
        <w:t>拨付。</w:t>
      </w:r>
    </w:p>
    <w:bookmarkEnd w:id="141"/>
    <w:p>
      <w:pPr>
        <w:rPr>
          <w:rFonts w:hint="eastAsia"/>
          <w:sz w:val="44"/>
          <w:szCs w:val="44"/>
          <w:lang w:val="en-US" w:eastAsia="zh-CN"/>
        </w:rPr>
      </w:pPr>
      <w:bookmarkStart w:id="151" w:name="bookmark54"/>
      <w:bookmarkEnd w:id="151"/>
    </w:p>
    <w:sectPr>
      <w:footerReference r:id="rId5" w:type="default"/>
      <w:pgSz w:w="11905" w:h="16840"/>
      <w:pgNumType w:fmt="numberInDash"/>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235" w:lineRule="exact"/>
      <w:ind w:left="4761"/>
      <w:rPr>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pPr>
                      <w:pStyle w:val="6"/>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isplayHorizontalDrawingGridEvery w:val="1"/>
  <w:displayVerticalDrawingGridEvery w:val="1"/>
  <w:noPunctuationKerning w:val="1"/>
  <w:compat>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14337"/>
    <w:rsid w:val="09F449EA"/>
    <w:rsid w:val="15001CD4"/>
    <w:rsid w:val="1D057B3C"/>
    <w:rsid w:val="1F33463C"/>
    <w:rsid w:val="26007228"/>
    <w:rsid w:val="26CD6B38"/>
    <w:rsid w:val="333D0637"/>
    <w:rsid w:val="33FC71AF"/>
    <w:rsid w:val="371D158F"/>
    <w:rsid w:val="3A172871"/>
    <w:rsid w:val="3DC24E28"/>
    <w:rsid w:val="3E4D1237"/>
    <w:rsid w:val="4014414F"/>
    <w:rsid w:val="412368EE"/>
    <w:rsid w:val="44145FC8"/>
    <w:rsid w:val="448E1CDB"/>
    <w:rsid w:val="467C4AB1"/>
    <w:rsid w:val="4A8416BB"/>
    <w:rsid w:val="4C657519"/>
    <w:rsid w:val="5EB71074"/>
    <w:rsid w:val="60C67F26"/>
    <w:rsid w:val="612A23BB"/>
    <w:rsid w:val="660B715E"/>
    <w:rsid w:val="68D43BEA"/>
    <w:rsid w:val="6B911513"/>
    <w:rsid w:val="7D7B06AD"/>
    <w:rsid w:val="7FAD429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sz w:val="21"/>
      <w:szCs w:val="22"/>
    </w:rPr>
  </w:style>
  <w:style w:type="paragraph" w:styleId="2">
    <w:name w:val="heading 3"/>
    <w:basedOn w:val="1"/>
    <w:next w:val="1"/>
    <w:qFormat/>
    <w:uiPriority w:val="0"/>
    <w:pPr>
      <w:keepNext/>
      <w:keepLines/>
      <w:spacing w:before="260" w:after="260" w:line="413" w:lineRule="auto"/>
      <w:outlineLvl w:val="2"/>
    </w:pPr>
    <w:rPr>
      <w:b/>
      <w:bCs/>
      <w:sz w:val="30"/>
      <w:szCs w:val="32"/>
    </w:rPr>
  </w:style>
  <w:style w:type="paragraph" w:styleId="3">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Body Text"/>
    <w:basedOn w:val="1"/>
    <w:semiHidden/>
    <w:qFormat/>
    <w:uiPriority w:val="0"/>
    <w:rPr>
      <w:rFonts w:ascii="Arial" w:hAnsi="Arial" w:eastAsia="Arial" w:cs="Arial"/>
      <w:sz w:val="21"/>
      <w:szCs w:val="21"/>
      <w:lang w:val="en-US" w:eastAsia="en-US" w:bidi="ar-SA"/>
    </w:rPr>
  </w:style>
  <w:style w:type="paragraph" w:styleId="5">
    <w:name w:val="toc 3"/>
    <w:basedOn w:val="1"/>
    <w:next w:val="1"/>
    <w:qFormat/>
    <w:uiPriority w:val="0"/>
    <w:pPr>
      <w:ind w:left="840" w:leftChars="4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Table Text"/>
    <w:basedOn w:val="1"/>
    <w:semiHidden/>
    <w:qFormat/>
    <w:uiPriority w:val="0"/>
    <w:rPr>
      <w:rFonts w:ascii="宋体" w:hAnsi="宋体" w:eastAsia="宋体" w:cs="宋体"/>
      <w:sz w:val="14"/>
      <w:szCs w:val="14"/>
      <w:lang w:val="en-US" w:eastAsia="en-US" w:bidi="ar-SA"/>
    </w:rPr>
  </w:style>
  <w:style w:type="table" w:customStyle="1" w:styleId="13">
    <w:name w:val="Table Normal"/>
    <w:semiHidden/>
    <w:unhideWhenUsed/>
    <w:qFormat/>
    <w:uiPriority w:val="0"/>
    <w:tblPr>
      <w:tblCellMar>
        <w:top w:w="0" w:type="dxa"/>
        <w:left w:w="0" w:type="dxa"/>
        <w:bottom w:w="0" w:type="dxa"/>
        <w:right w:w="0" w:type="dxa"/>
      </w:tblCellMar>
    </w:tblPr>
  </w:style>
  <w:style w:type="character" w:customStyle="1" w:styleId="14">
    <w:name w:val="font11"/>
    <w:basedOn w:val="11"/>
    <w:qFormat/>
    <w:uiPriority w:val="0"/>
    <w:rPr>
      <w:rFonts w:hint="eastAsia" w:ascii="宋体" w:hAnsi="宋体" w:eastAsia="宋体" w:cs="宋体"/>
      <w:color w:val="000000"/>
      <w:sz w:val="24"/>
      <w:szCs w:val="24"/>
      <w:u w:val="none"/>
    </w:rPr>
  </w:style>
  <w:style w:type="character" w:customStyle="1" w:styleId="15">
    <w:name w:val="font12"/>
    <w:basedOn w:val="11"/>
    <w:qFormat/>
    <w:uiPriority w:val="0"/>
    <w:rPr>
      <w:rFonts w:ascii="宋体" w:hAnsi="宋体" w:eastAsia="宋体" w:cs="宋体"/>
      <w:b/>
      <w:bCs/>
      <w:color w:val="000000"/>
      <w:sz w:val="28"/>
      <w:szCs w:val="28"/>
      <w:u w:val="none"/>
    </w:rPr>
  </w:style>
  <w:style w:type="character" w:customStyle="1" w:styleId="16">
    <w:name w:val="font101"/>
    <w:basedOn w:val="11"/>
    <w:qFormat/>
    <w:uiPriority w:val="0"/>
    <w:rPr>
      <w:rFonts w:ascii="宋体" w:hAnsi="宋体" w:eastAsia="宋体" w:cs="宋体"/>
      <w:color w:val="000000"/>
      <w:sz w:val="28"/>
      <w:szCs w:val="28"/>
      <w:u w:val="none"/>
    </w:rPr>
  </w:style>
  <w:style w:type="character" w:customStyle="1" w:styleId="17">
    <w:name w:val="font31"/>
    <w:basedOn w:val="11"/>
    <w:qFormat/>
    <w:uiPriority w:val="0"/>
    <w:rPr>
      <w:rFonts w:ascii="宋体" w:hAnsi="宋体" w:eastAsia="宋体" w:cs="宋体"/>
      <w:b/>
      <w:bCs/>
      <w:color w:val="000000"/>
      <w:sz w:val="22"/>
      <w:szCs w:val="22"/>
      <w:u w:val="none"/>
    </w:rPr>
  </w:style>
  <w:style w:type="character" w:customStyle="1" w:styleId="18">
    <w:name w:val="font41"/>
    <w:basedOn w:val="11"/>
    <w:qFormat/>
    <w:uiPriority w:val="0"/>
    <w:rPr>
      <w:rFonts w:ascii="宋体" w:hAnsi="宋体" w:eastAsia="宋体" w:cs="宋体"/>
      <w:b/>
      <w:bCs/>
      <w:color w:val="000000"/>
      <w:sz w:val="24"/>
      <w:szCs w:val="24"/>
      <w:u w:val="none"/>
    </w:rPr>
  </w:style>
  <w:style w:type="character" w:customStyle="1" w:styleId="19">
    <w:name w:val="font111"/>
    <w:basedOn w:val="11"/>
    <w:qFormat/>
    <w:uiPriority w:val="0"/>
    <w:rPr>
      <w:rFonts w:ascii="宋体" w:hAnsi="宋体" w:eastAsia="宋体" w:cs="宋体"/>
      <w:color w:val="000000"/>
      <w:sz w:val="24"/>
      <w:szCs w:val="24"/>
      <w:u w:val="none"/>
    </w:rPr>
  </w:style>
  <w:style w:type="character" w:customStyle="1" w:styleId="20">
    <w:name w:val="font122"/>
    <w:basedOn w:val="11"/>
    <w:qFormat/>
    <w:uiPriority w:val="0"/>
    <w:rPr>
      <w:rFonts w:ascii="宋体" w:hAnsi="宋体" w:eastAsia="宋体" w:cs="宋体"/>
      <w:color w:val="000000"/>
      <w:sz w:val="22"/>
      <w:szCs w:val="22"/>
      <w:u w:val="none"/>
    </w:rPr>
  </w:style>
  <w:style w:type="character" w:customStyle="1" w:styleId="21">
    <w:name w:val="font131"/>
    <w:basedOn w:val="11"/>
    <w:qFormat/>
    <w:uiPriority w:val="0"/>
    <w:rPr>
      <w:rFonts w:ascii="宋体" w:hAnsi="宋体" w:eastAsia="宋体" w:cs="宋体"/>
      <w:color w:val="000000"/>
      <w:sz w:val="18"/>
      <w:szCs w:val="18"/>
      <w:u w:val="none"/>
    </w:rPr>
  </w:style>
  <w:style w:type="character" w:customStyle="1" w:styleId="22">
    <w:name w:val="font81"/>
    <w:basedOn w:val="11"/>
    <w:qFormat/>
    <w:uiPriority w:val="0"/>
    <w:rPr>
      <w:rFonts w:ascii="宋体" w:hAnsi="宋体" w:eastAsia="宋体" w:cs="宋体"/>
      <w:color w:val="FF0000"/>
      <w:sz w:val="18"/>
      <w:szCs w:val="18"/>
      <w:u w:val="none"/>
    </w:rPr>
  </w:style>
  <w:style w:type="character" w:customStyle="1" w:styleId="23">
    <w:name w:val="font141"/>
    <w:basedOn w:val="11"/>
    <w:qFormat/>
    <w:uiPriority w:val="0"/>
    <w:rPr>
      <w:rFonts w:ascii="宋体" w:hAnsi="宋体" w:eastAsia="宋体" w:cs="宋体"/>
      <w:color w:val="000000"/>
      <w:sz w:val="16"/>
      <w:szCs w:val="16"/>
      <w:u w:val="none"/>
    </w:rPr>
  </w:style>
  <w:style w:type="character" w:customStyle="1" w:styleId="24">
    <w:name w:val="font151"/>
    <w:basedOn w:val="11"/>
    <w:qFormat/>
    <w:uiPriority w:val="0"/>
    <w:rPr>
      <w:rFonts w:ascii="宋体" w:hAnsi="宋体" w:eastAsia="宋体" w:cs="宋体"/>
      <w:color w:val="FF0000"/>
      <w:sz w:val="16"/>
      <w:szCs w:val="16"/>
      <w:u w:val="none"/>
    </w:rPr>
  </w:style>
  <w:style w:type="character" w:customStyle="1" w:styleId="25">
    <w:name w:val="font161"/>
    <w:basedOn w:val="11"/>
    <w:qFormat/>
    <w:uiPriority w:val="0"/>
    <w:rPr>
      <w:rFonts w:hint="default" w:ascii="Arial" w:hAnsi="Arial" w:cs="Arial"/>
      <w:color w:val="000000"/>
      <w:sz w:val="22"/>
      <w:szCs w:val="22"/>
      <w:u w:val="none"/>
    </w:rPr>
  </w:style>
  <w:style w:type="character" w:customStyle="1" w:styleId="26">
    <w:name w:val="font171"/>
    <w:basedOn w:val="11"/>
    <w:qFormat/>
    <w:uiPriority w:val="0"/>
    <w:rPr>
      <w:rFonts w:hint="default" w:ascii="Arial" w:hAnsi="Arial" w:cs="Arial"/>
      <w:color w:val="000000"/>
      <w:sz w:val="18"/>
      <w:szCs w:val="18"/>
      <w:u w:val="none"/>
    </w:rPr>
  </w:style>
  <w:style w:type="character" w:customStyle="1" w:styleId="27">
    <w:name w:val="font21"/>
    <w:basedOn w:val="11"/>
    <w:qFormat/>
    <w:uiPriority w:val="0"/>
    <w:rPr>
      <w:rFonts w:ascii="宋体" w:hAnsi="宋体" w:eastAsia="宋体" w:cs="宋体"/>
      <w:b/>
      <w:bCs/>
      <w:color w:val="000000"/>
      <w:sz w:val="22"/>
      <w:szCs w:val="22"/>
      <w:u w:val="none"/>
    </w:rPr>
  </w:style>
  <w:style w:type="character" w:customStyle="1" w:styleId="28">
    <w:name w:val="font91"/>
    <w:basedOn w:val="11"/>
    <w:qFormat/>
    <w:uiPriority w:val="0"/>
    <w:rPr>
      <w:rFonts w:ascii="宋体" w:hAnsi="宋体" w:eastAsia="宋体" w:cs="宋体"/>
      <w:color w:val="000000"/>
      <w:sz w:val="22"/>
      <w:szCs w:val="22"/>
      <w:u w:val="none"/>
    </w:rPr>
  </w:style>
  <w:style w:type="character" w:customStyle="1" w:styleId="29">
    <w:name w:val="font61"/>
    <w:basedOn w:val="11"/>
    <w:qFormat/>
    <w:uiPriority w:val="0"/>
    <w:rPr>
      <w:rFonts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Words>2225</Words>
  <Characters>2460</Characters>
  <TotalTime>95</TotalTime>
  <ScaleCrop>false</ScaleCrop>
  <LinksUpToDate>false</LinksUpToDate>
  <CharactersWithSpaces>2854</CharactersWithSpaces>
  <Application>WPS Office_11.8.2.12309_F1E327BC-269C-435d-A152-05C5408002CA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2026-03-27T01:37:00Z</dcterms:created>
  <dc:creator>Apache POI</dc:creator>
  <cp:lastModifiedBy>admin</cp:lastModifiedBy>
  <dcterms:modified xsi:type="dcterms:W3CDTF">2026-07-02T08:04:17Z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C2B9D8898B46410DB46B0A70CD7BDD85</vt:lpwstr>
  </property>
  <property fmtid="{D5CDD505-2E9C-101B-9397-08002B2CF9AE}" pid="4" name="KSOTemplateDocerSaveRecord">
    <vt:lpwstr>eyJoZGlkIjoiYzkyMzM4ODNmZThiZmExMTI4NTU1MTc1ZDQzNTJjMzQiLCJ1c2VySWQiOiI0MjE2OTIwMDEifQ==</vt:lpwstr>
  </property>
</Properties>
</file>