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74DFFC">
      <w:pPr>
        <w:spacing w:line="560" w:lineRule="exact"/>
        <w:ind w:firstLine="1760" w:firstLineChars="400"/>
        <w:jc w:val="both"/>
        <w:outlineLvl w:val="0"/>
        <w:rPr>
          <w:rFonts w:hint="eastAsia" w:ascii="方正小标宋简体" w:hAnsi="方正小标宋简体" w:eastAsia="方正小标宋简体" w:cs="方正小标宋简体"/>
          <w:sz w:val="44"/>
          <w:szCs w:val="44"/>
        </w:rPr>
      </w:pPr>
      <w:bookmarkStart w:id="1" w:name="_GoBack"/>
      <w:bookmarkEnd w:id="1"/>
      <w:r>
        <w:rPr>
          <w:rFonts w:hint="eastAsia" w:ascii="方正小标宋简体" w:hAnsi="方正小标宋简体" w:eastAsia="方正小标宋简体" w:cs="方正小标宋简体"/>
          <w:bCs/>
          <w:sz w:val="44"/>
          <w:szCs w:val="44"/>
          <w:lang w:eastAsia="zh-CN"/>
        </w:rPr>
        <w:t>平山县</w:t>
      </w:r>
      <w:r>
        <w:rPr>
          <w:rFonts w:hint="eastAsia" w:ascii="方正小标宋简体" w:hAnsi="方正小标宋简体" w:eastAsia="方正小标宋简体" w:cs="方正小标宋简体"/>
          <w:bCs/>
          <w:sz w:val="44"/>
          <w:szCs w:val="44"/>
        </w:rPr>
        <w:t>市场监督管理局</w:t>
      </w:r>
    </w:p>
    <w:p w14:paraId="32B9EF12">
      <w:pPr>
        <w:spacing w:line="560" w:lineRule="exact"/>
        <w:jc w:val="center"/>
        <w:outlineLvl w:val="0"/>
        <w:rPr>
          <w:rFonts w:ascii="Times New Roman" w:hAnsi="Times New Roman" w:eastAsia="方正小标宋简体" w:cs="Mongolian Baiti"/>
          <w:bCs/>
          <w:color w:val="000000"/>
          <w:sz w:val="44"/>
          <w:szCs w:val="44"/>
        </w:rPr>
      </w:pPr>
      <w:bookmarkStart w:id="0" w:name="_Toc76683364"/>
      <w:r>
        <w:rPr>
          <w:rFonts w:ascii="Times New Roman" w:hAnsi="Mongolian Baiti" w:eastAsia="方正小标宋简体" w:cs="Mongolian Baiti"/>
          <w:bCs/>
          <w:color w:val="000000"/>
          <w:sz w:val="44"/>
          <w:szCs w:val="44"/>
        </w:rPr>
        <w:t>行政处罚决定书</w:t>
      </w:r>
      <w:bookmarkEnd w:id="0"/>
    </w:p>
    <w:p w14:paraId="16F1560A">
      <w:pPr>
        <w:widowControl/>
        <w:snapToGrid w:val="0"/>
        <w:spacing w:line="560" w:lineRule="exact"/>
        <w:ind w:right="55"/>
        <w:jc w:val="center"/>
        <w:outlineLvl w:val="1"/>
        <w:rPr>
          <w:rFonts w:hint="eastAsia" w:ascii="Times New Roman" w:hAnsi="仿宋_GB2312" w:eastAsia="仿宋_GB2312" w:cs="仿宋_GB2312"/>
          <w:bCs/>
          <w:color w:val="000000"/>
          <w:sz w:val="32"/>
          <w:szCs w:val="32"/>
        </w:rPr>
      </w:pPr>
      <w:r>
        <w:rPr>
          <w:rFonts w:hint="eastAsia" w:ascii="Times New Roman" w:hAnsi="Times New Roman" w:eastAsia="仿宋_GB2312" w:cs="仿宋_GB2312"/>
          <w:bCs/>
          <w:color w:val="000000"/>
          <w:sz w:val="32"/>
          <w:szCs w:val="32"/>
          <w:u w:val="single"/>
        </w:rPr>
        <w:t xml:space="preserve">  </w:t>
      </w:r>
      <w:r>
        <w:rPr>
          <w:rFonts w:hint="eastAsia" w:ascii="Times New Roman" w:hAnsi="Times New Roman" w:eastAsia="仿宋_GB2312" w:cs="仿宋_GB2312"/>
          <w:bCs/>
          <w:color w:val="000000"/>
          <w:sz w:val="32"/>
          <w:szCs w:val="32"/>
          <w:u w:val="single"/>
          <w:lang w:val="en-US" w:eastAsia="zh-CN"/>
        </w:rPr>
        <w:t>平</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市监处罚〔</w:t>
      </w:r>
      <w:r>
        <w:rPr>
          <w:rFonts w:hint="eastAsia" w:ascii="Times New Roman" w:hAnsi="Times New Roman" w:eastAsia="仿宋_GB2312" w:cs="仿宋_GB2312"/>
          <w:bCs/>
          <w:color w:val="000000"/>
          <w:sz w:val="32"/>
          <w:szCs w:val="32"/>
          <w:u w:val="single"/>
        </w:rPr>
        <w:t xml:space="preserve"> </w:t>
      </w:r>
      <w:r>
        <w:rPr>
          <w:rFonts w:hint="eastAsia" w:ascii="Times New Roman" w:hAnsi="Times New Roman" w:eastAsia="仿宋_GB2312" w:cs="仿宋_GB2312"/>
          <w:bCs/>
          <w:color w:val="000000"/>
          <w:sz w:val="32"/>
          <w:szCs w:val="32"/>
          <w:u w:val="single"/>
          <w:lang w:val="en-US" w:eastAsia="zh-CN"/>
        </w:rPr>
        <w:t>2026</w:t>
      </w:r>
      <w:r>
        <w:rPr>
          <w:rFonts w:hint="eastAsia" w:ascii="Times New Roman" w:hAnsi="Times New Roman" w:eastAsia="仿宋_GB2312" w:cs="仿宋_GB2312"/>
          <w:bCs/>
          <w:color w:val="000000"/>
          <w:sz w:val="32"/>
          <w:szCs w:val="32"/>
          <w:u w:val="single"/>
        </w:rPr>
        <w:t xml:space="preserve"> </w:t>
      </w:r>
      <w:r>
        <w:rPr>
          <w:rFonts w:hint="eastAsia" w:ascii="Times New Roman" w:hAnsi="仿宋_GB2312" w:eastAsia="仿宋_GB2312" w:cs="仿宋_GB2312"/>
          <w:bCs/>
          <w:color w:val="000000"/>
          <w:sz w:val="32"/>
          <w:szCs w:val="32"/>
        </w:rPr>
        <w:t>〕</w:t>
      </w:r>
      <w:r>
        <w:rPr>
          <w:rFonts w:hint="eastAsia" w:ascii="Times New Roman" w:hAnsi="Times New Roman" w:eastAsia="仿宋_GB2312" w:cs="仿宋_GB2312"/>
          <w:bCs/>
          <w:color w:val="auto"/>
          <w:sz w:val="32"/>
          <w:szCs w:val="32"/>
          <w:u w:val="single"/>
        </w:rPr>
        <w:t xml:space="preserve"> </w:t>
      </w:r>
      <w:r>
        <w:rPr>
          <w:rFonts w:hint="eastAsia" w:ascii="Times New Roman" w:hAnsi="Times New Roman" w:eastAsia="仿宋_GB2312" w:cs="仿宋_GB2312"/>
          <w:bCs/>
          <w:color w:val="auto"/>
          <w:sz w:val="32"/>
          <w:szCs w:val="32"/>
          <w:u w:val="single"/>
          <w:lang w:val="en-US" w:eastAsia="zh-CN"/>
        </w:rPr>
        <w:t xml:space="preserve">12 </w:t>
      </w:r>
      <w:r>
        <w:rPr>
          <w:rFonts w:hint="eastAsia" w:ascii="Times New Roman" w:hAnsi="仿宋_GB2312" w:eastAsia="仿宋_GB2312" w:cs="仿宋_GB2312"/>
          <w:bCs/>
          <w:color w:val="000000"/>
          <w:sz w:val="32"/>
          <w:szCs w:val="32"/>
        </w:rPr>
        <w:t>号</w:t>
      </w:r>
    </w:p>
    <w:p w14:paraId="4429FC36">
      <w:pPr>
        <w:widowControl/>
        <w:snapToGrid w:val="0"/>
        <w:spacing w:line="560" w:lineRule="exact"/>
        <w:ind w:right="55"/>
        <w:jc w:val="both"/>
        <w:outlineLvl w:val="1"/>
        <w:rPr>
          <w:rFonts w:hint="eastAsia" w:ascii="Times New Roman" w:hAnsi="Times New Roman" w:eastAsia="仿宋_GB2312" w:cs="Mongolian Baiti"/>
          <w:bCs/>
          <w:kern w:val="1"/>
          <w:sz w:val="32"/>
          <w:szCs w:val="32"/>
        </w:rPr>
      </w:pPr>
    </w:p>
    <w:p w14:paraId="6CCD1006">
      <w:pPr>
        <w:widowControl/>
        <w:snapToGrid w:val="0"/>
        <w:spacing w:line="560" w:lineRule="exact"/>
        <w:ind w:right="55"/>
        <w:jc w:val="both"/>
        <w:outlineLvl w:val="1"/>
        <w:rPr>
          <w:rFonts w:hint="eastAsia" w:ascii="Times New Roman" w:hAnsi="Times New Roman" w:eastAsia="仿宋_GB2312" w:cs="Mongolian Baiti"/>
          <w:bCs/>
          <w:sz w:val="32"/>
          <w:szCs w:val="32"/>
        </w:rPr>
      </w:pPr>
      <w:r>
        <w:rPr>
          <w:rFonts w:hint="eastAsia" w:ascii="Times New Roman" w:hAnsi="Times New Roman" w:eastAsia="仿宋_GB2312" w:cs="Mongolian Baiti"/>
          <w:color w:val="000000"/>
          <w:sz w:val="32"/>
          <w:szCs w:val="32"/>
        </w:rPr>
        <mc:AlternateContent>
          <mc:Choice Requires="wps">
            <w:drawing>
              <wp:anchor distT="0" distB="0" distL="114300" distR="114300" simplePos="0" relativeHeight="251659264" behindDoc="0" locked="0" layoutInCell="1" allowOverlap="0">
                <wp:simplePos x="0" y="0"/>
                <wp:positionH relativeFrom="column">
                  <wp:posOffset>-38100</wp:posOffset>
                </wp:positionH>
                <wp:positionV relativeFrom="paragraph">
                  <wp:posOffset>20802600</wp:posOffset>
                </wp:positionV>
                <wp:extent cx="5761990" cy="0"/>
                <wp:effectExtent l="0" t="9525" r="10160" b="9525"/>
                <wp:wrapNone/>
                <wp:docPr id="1" name="直接箭头连接符 1"/>
                <wp:cNvGraphicFramePr/>
                <a:graphic xmlns:a="http://schemas.openxmlformats.org/drawingml/2006/main">
                  <a:graphicData uri="http://schemas.microsoft.com/office/word/2010/wordprocessingShape">
                    <wps:wsp>
                      <wps:cNvCnPr/>
                      <wps:spPr>
                        <a:xfrm>
                          <a:off x="0" y="0"/>
                          <a:ext cx="5761990" cy="0"/>
                        </a:xfrm>
                        <a:prstGeom prst="straightConnector1">
                          <a:avLst/>
                        </a:prstGeom>
                        <a:ln w="19050" cap="flat" cmpd="sng">
                          <a:solidFill>
                            <a:srgbClr val="000000"/>
                          </a:solidFill>
                          <a:prstDash val="solid"/>
                          <a:headEnd type="none" w="med" len="med"/>
                          <a:tailEnd type="none" w="med" len="med"/>
                        </a:ln>
                      </wps:spPr>
                      <wps:txbx>
                        <w:txbxContent>
                          <w:p w14:paraId="645EA51B">
                            <w:pPr>
                              <w:wordWrap w:val="0"/>
                              <w:rPr>
                                <w:rFonts w:ascii="宋体" w:hAnsi="宋体"/>
                                <w:sz w:val="20"/>
                                <w:szCs w:val="20"/>
                              </w:rPr>
                            </w:pPr>
                          </w:p>
                        </w:txbxContent>
                      </wps:txbx>
                      <wps:bodyPr/>
                    </wps:wsp>
                  </a:graphicData>
                </a:graphic>
              </wp:anchor>
            </w:drawing>
          </mc:Choice>
          <mc:Fallback>
            <w:pict>
              <v:shape id="_x0000_s1026" o:spid="_x0000_s1026" o:spt="32" type="#_x0000_t32" style="position:absolute;left:0pt;margin-left:-3pt;margin-top:1638pt;height:0pt;width:453.7pt;z-index:251659264;mso-width-relative:page;mso-height-relative:page;" filled="f" stroked="t" coordsize="21600,21600" o:allowoverlap="f" o:gfxdata="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grLW/1gAAAAwBAAAPAAAAAAAAAAEAIAAAACIAAABkcnMvZG93&#10;bnJldi54bWxQSwECFAAUAAAACACHTuJAxChvHQICAAD4AwAADgAAAAAAAAABACAAAAAlAQAAZHJz&#10;L2Uyb0RvYy54bWxQSwUGAAAAAAYABgBZAQAAmQUAAAAA&#10;">
                <v:fill on="f" focussize="0,0"/>
                <v:stroke weight="1.5pt" color="#000000" joinstyle="round"/>
                <v:imagedata o:title=""/>
                <o:lock v:ext="edit" aspectratio="f"/>
                <v:textbox>
                  <w:txbxContent>
                    <w:p w14:paraId="645EA51B">
                      <w:pPr>
                        <w:wordWrap w:val="0"/>
                        <w:rPr>
                          <w:rFonts w:ascii="宋体" w:hAnsi="宋体"/>
                          <w:sz w:val="20"/>
                          <w:szCs w:val="20"/>
                        </w:rPr>
                      </w:pPr>
                    </w:p>
                  </w:txbxContent>
                </v:textbox>
              </v:shape>
            </w:pict>
          </mc:Fallback>
        </mc:AlternateContent>
      </w:r>
      <w:r>
        <w:rPr>
          <w:rFonts w:hint="eastAsia" w:ascii="Times New Roman" w:hAnsi="Times New Roman" w:eastAsia="仿宋_GB2312" w:cs="Mongolian Baiti"/>
          <w:bCs/>
          <w:kern w:val="1"/>
          <w:sz w:val="32"/>
          <w:szCs w:val="32"/>
        </w:rPr>
        <w:t>当事人：</w:t>
      </w:r>
      <w:r>
        <w:rPr>
          <w:rFonts w:hint="eastAsia" w:ascii="仿宋_GB2312" w:hAnsi="Times New Roman" w:eastAsia="仿宋_GB2312"/>
          <w:sz w:val="32"/>
          <w:szCs w:val="32"/>
          <w:u w:val="single"/>
        </w:rPr>
        <w:t xml:space="preserve"> </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微软雅黑"/>
          <w:bCs/>
          <w:kern w:val="1"/>
          <w:sz w:val="32"/>
          <w:szCs w:val="32"/>
          <w:u w:val="single"/>
          <w:lang w:val="en-US" w:eastAsia="zh-CN"/>
        </w:rPr>
        <w:t>平山老齐日用百货经营店</w:t>
      </w:r>
      <w:r>
        <w:rPr>
          <w:rFonts w:hint="eastAsia" w:ascii="Times New Roman" w:hAnsi="Times New Roman" w:eastAsia="仿宋_GB2312" w:cs="微软雅黑"/>
          <w:bCs/>
          <w:kern w:val="1"/>
          <w:sz w:val="32"/>
          <w:szCs w:val="32"/>
          <w:u w:val="single"/>
        </w:rPr>
        <w:t xml:space="preserve"> </w:t>
      </w:r>
      <w:r>
        <w:rPr>
          <w:rFonts w:hint="eastAsia" w:ascii="仿宋_GB2312" w:hAnsi="Times New Roman" w:eastAsia="仿宋_GB2312"/>
          <w:sz w:val="32"/>
          <w:szCs w:val="32"/>
          <w:u w:val="single"/>
        </w:rPr>
        <w:t xml:space="preserve">           </w:t>
      </w:r>
      <w:r>
        <w:rPr>
          <w:rFonts w:hint="eastAsia" w:ascii="仿宋_GB2312" w:hAnsi="Times New Roman" w:eastAsia="仿宋_GB2312"/>
          <w:sz w:val="32"/>
          <w:szCs w:val="32"/>
          <w:u w:val="single"/>
          <w:lang w:val="en-US" w:eastAsia="zh-CN"/>
        </w:rPr>
        <w:t xml:space="preserve">                             </w:t>
      </w:r>
      <w:r>
        <w:rPr>
          <w:rFonts w:hint="eastAsia" w:ascii="Times New Roman" w:hAnsi="Times New Roman" w:eastAsia="仿宋_GB2312" w:cs="Mongolian Baiti"/>
          <w:kern w:val="1"/>
          <w:sz w:val="32"/>
          <w:szCs w:val="32"/>
          <w:u w:val="single"/>
        </w:rPr>
        <w:t xml:space="preserve">   </w:t>
      </w:r>
    </w:p>
    <w:p w14:paraId="16E4AAFE">
      <w:pPr>
        <w:spacing w:line="520" w:lineRule="exact"/>
        <w:ind w:left="140" w:hanging="140"/>
        <w:rPr>
          <w:rFonts w:hint="eastAsia" w:ascii="Times New Roman" w:hAnsi="Times New Roman" w:eastAsia="仿宋_GB2312" w:cs="Mongolian Baiti"/>
          <w:sz w:val="32"/>
          <w:szCs w:val="32"/>
        </w:rPr>
      </w:pPr>
      <w:r>
        <w:rPr>
          <w:rFonts w:hint="eastAsia" w:ascii="Times New Roman" w:hAnsi="Times New Roman" w:eastAsia="仿宋_GB2312" w:cs="微软雅黑"/>
          <w:bCs/>
          <w:kern w:val="1"/>
          <w:sz w:val="32"/>
          <w:szCs w:val="32"/>
        </w:rPr>
        <w:t>主体资格证照</w:t>
      </w:r>
      <w:r>
        <w:rPr>
          <w:rFonts w:hint="eastAsia" w:ascii="Times New Roman" w:hAnsi="Times New Roman" w:eastAsia="仿宋_GB2312" w:cs="Mongolian Baiti"/>
          <w:kern w:val="1"/>
          <w:sz w:val="32"/>
          <w:szCs w:val="32"/>
        </w:rPr>
        <w:t>名称：</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Mongolian Baiti"/>
          <w:kern w:val="1"/>
          <w:sz w:val="32"/>
          <w:szCs w:val="32"/>
          <w:u w:val="single"/>
          <w:lang w:val="en-US" w:eastAsia="zh-CN"/>
        </w:rPr>
        <w:t>营业执照</w:t>
      </w:r>
      <w:r>
        <w:rPr>
          <w:rFonts w:hint="eastAsia" w:ascii="Times New Roman" w:hAnsi="Times New Roman" w:eastAsia="仿宋_GB2312" w:cs="Mongolian Baiti"/>
          <w:kern w:val="1"/>
          <w:sz w:val="32"/>
          <w:szCs w:val="32"/>
          <w:u w:val="single"/>
        </w:rPr>
        <w:t xml:space="preserve">                                      </w:t>
      </w:r>
    </w:p>
    <w:p w14:paraId="6EAED309">
      <w:pPr>
        <w:spacing w:line="520" w:lineRule="exact"/>
        <w:ind w:left="140" w:hanging="140"/>
        <w:rPr>
          <w:rFonts w:hint="eastAsia" w:ascii="Times New Roman" w:hAnsi="Times New Roman" w:eastAsia="仿宋_GB2312" w:cs="Mongolian Baiti"/>
          <w:kern w:val="1"/>
          <w:sz w:val="32"/>
          <w:szCs w:val="32"/>
          <w:u w:val="single"/>
        </w:rPr>
      </w:pPr>
      <w:r>
        <w:rPr>
          <w:rFonts w:hint="eastAsia" w:ascii="Times New Roman" w:hAnsi="Times New Roman" w:eastAsia="仿宋_GB2312" w:cs="Mongolian Baiti"/>
          <w:kern w:val="1"/>
          <w:sz w:val="32"/>
          <w:szCs w:val="32"/>
        </w:rPr>
        <w:t>统一社会信用代码：</w:t>
      </w:r>
      <w:r>
        <w:rPr>
          <w:rFonts w:hint="eastAsia" w:ascii="仿宋" w:hAnsi="仿宋" w:eastAsia="仿宋" w:cs="仿宋"/>
          <w:bCs/>
          <w:color w:val="auto"/>
          <w:kern w:val="2"/>
          <w:sz w:val="32"/>
          <w:szCs w:val="32"/>
          <w:highlight w:val="none"/>
          <w:u w:val="single"/>
          <w:lang w:val="en-US" w:eastAsia="zh-CN" w:bidi="hi-IN"/>
        </w:rPr>
        <w:t>***</w:t>
      </w:r>
      <w:r>
        <w:rPr>
          <w:rFonts w:hint="eastAsia" w:ascii="Times New Roman" w:hAnsi="Times New Roman" w:eastAsia="仿宋_GB2312" w:cs="Mongolian Baiti"/>
          <w:kern w:val="1"/>
          <w:sz w:val="32"/>
          <w:szCs w:val="32"/>
          <w:u w:val="single"/>
        </w:rPr>
        <w:t xml:space="preserve">                                  </w:t>
      </w:r>
    </w:p>
    <w:p w14:paraId="43C5B31E">
      <w:pPr>
        <w:spacing w:line="520" w:lineRule="exact"/>
        <w:rPr>
          <w:rFonts w:hint="default" w:ascii="仿宋" w:hAnsi="仿宋" w:eastAsia="仿宋" w:cs="仿宋"/>
          <w:color w:val="auto"/>
          <w:sz w:val="32"/>
          <w:szCs w:val="32"/>
          <w:highlight w:val="none"/>
          <w:u w:val="single"/>
          <w:lang w:val="en-US" w:eastAsia="zh-CN"/>
        </w:rPr>
      </w:pPr>
      <w:r>
        <w:rPr>
          <w:rFonts w:hint="eastAsia" w:ascii="Times New Roman" w:hAnsi="Times New Roman" w:eastAsia="仿宋_GB2312" w:cs="Mongolian Baiti"/>
          <w:kern w:val="1"/>
          <w:sz w:val="32"/>
          <w:szCs w:val="32"/>
        </w:rPr>
        <w:t>住所（住址）：</w:t>
      </w:r>
      <w:r>
        <w:rPr>
          <w:rFonts w:hint="eastAsia" w:ascii="Times New Roman" w:hAnsi="Times New Roman" w:eastAsia="仿宋_GB2312" w:cs="Mongolian Baiti"/>
          <w:kern w:val="1"/>
          <w:sz w:val="32"/>
          <w:szCs w:val="32"/>
          <w:u w:val="single"/>
        </w:rPr>
        <w:t xml:space="preserve"> </w:t>
      </w:r>
      <w:r>
        <w:rPr>
          <w:rFonts w:hint="eastAsia" w:ascii="仿宋" w:hAnsi="仿宋" w:eastAsia="仿宋" w:cs="仿宋"/>
          <w:color w:val="auto"/>
          <w:sz w:val="32"/>
          <w:szCs w:val="32"/>
          <w:highlight w:val="none"/>
          <w:u w:val="single"/>
          <w:lang w:val="en-US" w:eastAsia="zh-CN"/>
        </w:rPr>
        <w:t xml:space="preserve">***                     </w:t>
      </w:r>
    </w:p>
    <w:p w14:paraId="1A2785F6">
      <w:pPr>
        <w:spacing w:line="520" w:lineRule="exact"/>
        <w:rPr>
          <w:rFonts w:hint="eastAsia" w:ascii="Times New Roman" w:hAnsi="Times New Roman" w:eastAsia="仿宋_GB2312" w:cs="Mongolian Baiti"/>
          <w:kern w:val="1"/>
          <w:sz w:val="32"/>
          <w:szCs w:val="32"/>
          <w:u w:val="single"/>
          <w:lang w:val="en-US" w:eastAsia="zh-CN"/>
        </w:rPr>
      </w:pPr>
      <w:r>
        <w:rPr>
          <w:rFonts w:hint="eastAsia" w:ascii="Times New Roman" w:hAnsi="Times New Roman" w:eastAsia="仿宋_GB2312" w:cs="Mongolian Baiti"/>
          <w:kern w:val="1"/>
          <w:sz w:val="32"/>
          <w:szCs w:val="32"/>
        </w:rPr>
        <w:t>法定代表人（负责人</w:t>
      </w:r>
      <w:r>
        <w:rPr>
          <w:rFonts w:hint="eastAsia" w:ascii="Times New Roman" w:hAnsi="Times New Roman" w:eastAsia="仿宋_GB2312" w:cs="Mongolian Baiti"/>
          <w:kern w:val="1"/>
          <w:sz w:val="32"/>
          <w:szCs w:val="32"/>
          <w:lang w:eastAsia="zh-CN"/>
        </w:rPr>
        <w:t>、经营者</w:t>
      </w:r>
      <w:r>
        <w:rPr>
          <w:rFonts w:hint="eastAsia" w:ascii="Times New Roman" w:hAnsi="Times New Roman" w:eastAsia="仿宋_GB2312" w:cs="Mongolian Baiti"/>
          <w:kern w:val="1"/>
          <w:sz w:val="32"/>
          <w:szCs w:val="32"/>
        </w:rPr>
        <w:t>）：</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Mongolian Baiti"/>
          <w:kern w:val="1"/>
          <w:sz w:val="32"/>
          <w:szCs w:val="32"/>
          <w:u w:val="single"/>
          <w:lang w:val="en-US" w:eastAsia="zh-CN"/>
        </w:rPr>
        <w:t xml:space="preserve">   ***  </w:t>
      </w:r>
    </w:p>
    <w:p w14:paraId="451E7F8F">
      <w:pPr>
        <w:spacing w:line="520" w:lineRule="exact"/>
        <w:rPr>
          <w:rFonts w:hint="eastAsia" w:ascii="仿宋_GB2312" w:hAnsi="方正仿宋_GBK" w:eastAsia="仿宋_GB2312"/>
          <w:b/>
          <w:strike/>
          <w:color w:val="231F20"/>
          <w:spacing w:val="-49"/>
          <w:lang w:val="en-US" w:eastAsia="zh-CN"/>
        </w:rPr>
      </w:pPr>
      <w:r>
        <w:rPr>
          <w:rFonts w:hint="eastAsia" w:ascii="Times New Roman" w:hAnsi="Times New Roman" w:eastAsia="仿宋_GB2312" w:cs="Mongolian Baiti"/>
          <w:kern w:val="1"/>
          <w:sz w:val="32"/>
          <w:szCs w:val="32"/>
        </w:rPr>
        <w:t>身份证件号码：</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Mongolian Baiti"/>
          <w:kern w:val="1"/>
          <w:sz w:val="32"/>
          <w:szCs w:val="32"/>
          <w:u w:val="single"/>
          <w:lang w:val="en-US" w:eastAsia="zh-CN"/>
        </w:rPr>
        <w:t xml:space="preserve">        </w:t>
      </w:r>
      <w:r>
        <w:rPr>
          <w:rFonts w:hint="eastAsia" w:ascii="仿宋_GB2312" w:hAnsi="仿宋" w:eastAsia="仿宋_GB2312" w:cs="仿宋"/>
          <w:color w:val="000000"/>
          <w:sz w:val="32"/>
          <w:szCs w:val="32"/>
          <w:u w:val="single"/>
          <w:lang w:val="en-US" w:eastAsia="zh-CN"/>
        </w:rPr>
        <w:t>***</w:t>
      </w:r>
      <w:r>
        <w:rPr>
          <w:rFonts w:hint="eastAsia" w:ascii="Times New Roman" w:hAnsi="Times New Roman" w:eastAsia="仿宋_GB2312" w:cs="Mongolian Baiti"/>
          <w:kern w:val="1"/>
          <w:sz w:val="32"/>
          <w:szCs w:val="32"/>
          <w:u w:val="single"/>
        </w:rPr>
        <w:t xml:space="preserve">           </w:t>
      </w:r>
      <w:r>
        <w:rPr>
          <w:rFonts w:hint="eastAsia" w:ascii="Times New Roman" w:hAnsi="Times New Roman" w:eastAsia="仿宋_GB2312" w:cs="Mongolian Baiti"/>
          <w:kern w:val="1"/>
          <w:sz w:val="32"/>
          <w:szCs w:val="32"/>
          <w:u w:val="single"/>
          <w:lang w:val="en-US" w:eastAsia="zh-CN"/>
        </w:rPr>
        <w:t xml:space="preserve"> </w:t>
      </w:r>
    </w:p>
    <w:p w14:paraId="4F4062E9">
      <w:pPr>
        <w:pStyle w:val="2"/>
        <w:tabs>
          <w:tab w:val="left" w:pos="9060"/>
        </w:tabs>
        <w:spacing w:line="520" w:lineRule="exact"/>
        <w:ind w:firstLine="640" w:firstLineChars="200"/>
        <w:rPr>
          <w:rFonts w:hint="eastAsia" w:ascii="Times New Roman" w:eastAsia="仿宋_GB2312" w:cs="仿宋_GB2312"/>
          <w:strike/>
          <w:color w:val="000000"/>
          <w:u w:val="single"/>
          <w:shd w:val="clear" w:color="FFFFFF" w:fill="D9D9D9"/>
        </w:rPr>
      </w:pPr>
      <w:r>
        <w:rPr>
          <w:rFonts w:hint="eastAsia" w:ascii="Times New Roman" w:eastAsia="仿宋_GB2312" w:cs="仿宋_GB2312"/>
          <w:color w:val="000000"/>
          <w:u w:val="single"/>
        </w:rPr>
        <w:t xml:space="preserve"> </w:t>
      </w:r>
      <w:r>
        <w:rPr>
          <w:rFonts w:hint="eastAsia" w:ascii="Times New Roman" w:eastAsia="仿宋_GB2312" w:cs="仿宋_GB2312"/>
          <w:color w:val="000000"/>
          <w:u w:val="single"/>
          <w:lang w:val="en-US" w:eastAsia="zh-CN"/>
        </w:rPr>
        <w:t>2025年12月12日，平山县市场监督管理局小觉市场监管所收到平山县市场监督管理局食品监管股转来的《检验报告》(No:TX2025CJ20385)，报告中显示2025年11月21日在平山老齐日用百货经营店抽捡的尖椒，噻虫胺项目实测值0.088mg/kg，不符合GB 2763-2021《食品安全国家标准 食品中农药最大残留限量》要求，检验结论为不合格。指定办案人员于2025年12月12日为当事人送达了上述检验报告，并告知当事人7个工作日内复检的权利。执法人员在当事人的陪同下，对其经营场所进行了检查，未发现问题批次的尖椒销售。当事人现场不能提供2025年11月21日抽检的尖椒的产品合格凭证和供货商的资质。执法人员当场下达了《限期提供材料通知书》（平市监限提﹝2025﹞11号）、《责令改正通知书》（平市监责改 ﹝2025﹞11号）。直至限期提供材料到期，当事人仍未提供抽检尖椒的产品合格凭证和供货商的资质。当事人在7个工作日内未对检验结果提出异议，也未提出复检申请。2025年12月26日当事人到平山县市场监督管理局小觉市场监管所接受了询问调查。本案未采取行政强制措施。</w:t>
      </w:r>
    </w:p>
    <w:p w14:paraId="0F513BE8">
      <w:pPr>
        <w:pStyle w:val="2"/>
        <w:tabs>
          <w:tab w:val="left" w:pos="9060"/>
        </w:tabs>
        <w:spacing w:line="520" w:lineRule="exact"/>
        <w:ind w:firstLine="640" w:firstLineChars="200"/>
        <w:rPr>
          <w:rFonts w:hint="default" w:ascii="Times New Roman" w:eastAsia="仿宋_GB2312" w:cs="仿宋_GB2312"/>
          <w:color w:val="000000"/>
          <w:u w:val="single"/>
          <w:lang w:val="en-US" w:eastAsia="zh-CN"/>
        </w:rPr>
      </w:pPr>
      <w:r>
        <w:rPr>
          <w:rFonts w:hint="eastAsia" w:ascii="Times New Roman" w:eastAsia="仿宋_GB2312" w:cs="仿宋_GB2312"/>
          <w:color w:val="000000"/>
          <w:u w:val="single"/>
          <w:lang w:val="en-US" w:eastAsia="zh-CN"/>
        </w:rPr>
        <w:t>经查，根据当事人提供的收款收据凭证和当事人提供的进货登记本记录显示，当事人于</w:t>
      </w:r>
      <w:r>
        <w:rPr>
          <w:rFonts w:hint="eastAsia" w:ascii="Times New Roman" w:eastAsia="仿宋_GB2312" w:cs="仿宋_GB2312"/>
          <w:color w:val="auto"/>
          <w:u w:val="single"/>
          <w:lang w:val="en-US" w:eastAsia="zh-CN"/>
        </w:rPr>
        <w:t>2025年11月19日</w:t>
      </w:r>
      <w:r>
        <w:rPr>
          <w:rFonts w:hint="eastAsia" w:ascii="仿宋_GB2312" w:hAnsi="仿宋" w:eastAsia="仿宋_GB2312" w:cs="仿宋"/>
          <w:color w:val="000000"/>
          <w:sz w:val="32"/>
          <w:szCs w:val="32"/>
          <w:u w:val="single"/>
          <w:lang w:val="en-US" w:eastAsia="zh-CN"/>
        </w:rPr>
        <w:t>在下槐镇</w:t>
      </w:r>
      <w:r>
        <w:rPr>
          <w:rFonts w:hint="eastAsia" w:ascii="仿宋_GB2312" w:hAnsi="仿宋" w:eastAsia="仿宋_GB2312" w:cs="仿宋"/>
          <w:color w:val="000000"/>
          <w:sz w:val="32"/>
          <w:szCs w:val="32"/>
          <w:u w:val="single"/>
          <w:lang w:eastAsia="zh-CN"/>
        </w:rPr>
        <w:t>下槐街一辆送菜车上</w:t>
      </w:r>
      <w:r>
        <w:rPr>
          <w:rFonts w:hint="eastAsia" w:ascii="Times New Roman" w:eastAsia="仿宋_GB2312" w:cs="仿宋_GB2312"/>
          <w:color w:val="auto"/>
          <w:u w:val="single"/>
          <w:lang w:val="en-US" w:eastAsia="zh-CN"/>
        </w:rPr>
        <w:t>购进精品</w:t>
      </w:r>
      <w:r>
        <w:rPr>
          <w:rFonts w:hint="eastAsia" w:ascii="Times New Roman" w:eastAsia="仿宋_GB2312" w:cs="仿宋_GB2312"/>
          <w:color w:val="000000"/>
          <w:u w:val="single"/>
          <w:lang w:val="en-US" w:eastAsia="zh-CN"/>
        </w:rPr>
        <w:t>尖椒</w:t>
      </w:r>
      <w:r>
        <w:rPr>
          <w:rFonts w:hint="eastAsia" w:ascii="仿宋_GB2312" w:hAnsi="仿宋" w:eastAsia="仿宋_GB2312" w:cs="仿宋"/>
          <w:color w:val="auto"/>
          <w:sz w:val="32"/>
          <w:szCs w:val="32"/>
          <w:u w:val="single"/>
          <w:lang w:val="en-US" w:eastAsia="zh-CN"/>
        </w:rPr>
        <w:t>2.55Kg（5.1斤）</w:t>
      </w:r>
      <w:r>
        <w:rPr>
          <w:rFonts w:hint="eastAsia" w:ascii="Times New Roman" w:eastAsia="仿宋_GB2312" w:cs="仿宋_GB2312"/>
          <w:color w:val="000000"/>
          <w:u w:val="single"/>
          <w:lang w:val="en-US" w:eastAsia="zh-CN"/>
        </w:rPr>
        <w:t>，购进价格8元/kg</w:t>
      </w:r>
      <w:r>
        <w:rPr>
          <w:rFonts w:hint="eastAsia" w:ascii="仿宋_GB2312" w:hAnsi="仿宋" w:eastAsia="仿宋_GB2312" w:cs="仿宋"/>
          <w:color w:val="auto"/>
          <w:sz w:val="32"/>
          <w:szCs w:val="32"/>
          <w:u w:val="single"/>
          <w:lang w:val="en-US" w:eastAsia="zh-CN"/>
        </w:rPr>
        <w:t>（4元/斤）</w:t>
      </w:r>
      <w:r>
        <w:rPr>
          <w:rFonts w:hint="eastAsia" w:ascii="Times New Roman" w:eastAsia="仿宋_GB2312" w:cs="仿宋_GB2312"/>
          <w:color w:val="000000"/>
          <w:u w:val="single"/>
          <w:lang w:val="en-US" w:eastAsia="zh-CN"/>
        </w:rPr>
        <w:t>，优惠后</w:t>
      </w:r>
      <w:r>
        <w:rPr>
          <w:rFonts w:hint="eastAsia" w:ascii="Times New Roman" w:eastAsia="仿宋_GB2312" w:cs="仿宋_GB2312"/>
          <w:color w:val="auto"/>
          <w:u w:val="single"/>
          <w:lang w:val="en-US" w:eastAsia="zh-CN"/>
        </w:rPr>
        <w:t>支付金额20元，</w:t>
      </w:r>
      <w:r>
        <w:rPr>
          <w:rFonts w:hint="eastAsia" w:ascii="Times New Roman" w:eastAsia="仿宋_GB2312" w:cs="仿宋_GB2312"/>
          <w:color w:val="000000"/>
          <w:u w:val="single"/>
          <w:lang w:val="en-US" w:eastAsia="zh-CN"/>
        </w:rPr>
        <w:t>销售价格为10元/Kg</w:t>
      </w:r>
      <w:r>
        <w:rPr>
          <w:rFonts w:hint="eastAsia" w:ascii="仿宋_GB2312" w:hAnsi="仿宋" w:eastAsia="仿宋_GB2312" w:cs="仿宋"/>
          <w:color w:val="auto"/>
          <w:sz w:val="32"/>
          <w:szCs w:val="32"/>
          <w:u w:val="single"/>
          <w:lang w:val="en-US" w:eastAsia="zh-CN"/>
        </w:rPr>
        <w:t>（5元/斤）</w:t>
      </w:r>
      <w:r>
        <w:rPr>
          <w:rFonts w:hint="eastAsia" w:ascii="Times New Roman" w:eastAsia="仿宋_GB2312" w:cs="仿宋_GB2312"/>
          <w:color w:val="000000"/>
          <w:u w:val="single"/>
          <w:lang w:val="en-US" w:eastAsia="zh-CN"/>
        </w:rPr>
        <w:t>。全部被抽检公司以10元/Kg购买为抽检样品，2.5Kg</w:t>
      </w:r>
      <w:r>
        <w:rPr>
          <w:rFonts w:hint="eastAsia" w:ascii="仿宋_GB2312" w:hAnsi="仿宋" w:eastAsia="仿宋_GB2312" w:cs="仿宋"/>
          <w:color w:val="auto"/>
          <w:sz w:val="32"/>
          <w:szCs w:val="32"/>
          <w:u w:val="single"/>
          <w:lang w:val="en-US" w:eastAsia="zh-CN"/>
        </w:rPr>
        <w:t>（误差0.1斤）</w:t>
      </w:r>
      <w:r>
        <w:rPr>
          <w:rFonts w:hint="eastAsia" w:ascii="Times New Roman" w:eastAsia="仿宋_GB2312" w:cs="仿宋_GB2312"/>
          <w:color w:val="000000"/>
          <w:u w:val="single"/>
          <w:lang w:val="en-US" w:eastAsia="zh-CN"/>
        </w:rPr>
        <w:t>价格为25元 ，共计违法所得为25元。当事人不能提供供货商的资质和合格证明。</w:t>
      </w:r>
    </w:p>
    <w:p w14:paraId="7EF7C127">
      <w:pPr>
        <w:pStyle w:val="2"/>
        <w:tabs>
          <w:tab w:val="left" w:pos="8285"/>
        </w:tabs>
        <w:spacing w:line="520" w:lineRule="exact"/>
        <w:ind w:firstLine="640" w:firstLineChars="200"/>
        <w:rPr>
          <w:rFonts w:ascii="Times New Roman" w:eastAsia="仿宋_GB2312" w:cs="Mongolian Baiti"/>
          <w:kern w:val="1"/>
        </w:rPr>
      </w:pPr>
      <w:r>
        <w:rPr>
          <w:rFonts w:ascii="Times New Roman" w:eastAsia="仿宋_GB2312" w:cs="Mongolian Baiti"/>
          <w:kern w:val="1"/>
        </w:rPr>
        <w:t>上述事实，主要有以下证据证明：</w:t>
      </w:r>
    </w:p>
    <w:p w14:paraId="11F8CEDA">
      <w:pPr>
        <w:pStyle w:val="2"/>
        <w:tabs>
          <w:tab w:val="left" w:pos="8285"/>
        </w:tabs>
        <w:spacing w:line="520" w:lineRule="exact"/>
        <w:ind w:firstLine="640" w:firstLineChars="200"/>
        <w:rPr>
          <w:rFonts w:hint="eastAsia" w:ascii="Times New Roman" w:eastAsia="仿宋_GB2312" w:cs="仿宋_GB2312"/>
          <w:color w:val="000000"/>
          <w:u w:val="single"/>
          <w:lang w:eastAsia="zh-CN"/>
        </w:rPr>
      </w:pPr>
      <w:r>
        <w:rPr>
          <w:rFonts w:hint="eastAsia" w:ascii="Times New Roman" w:eastAsia="仿宋_GB2312" w:cs="仿宋_GB2312"/>
          <w:color w:val="000000"/>
          <w:u w:val="single"/>
        </w:rPr>
        <w:t xml:space="preserve"> </w:t>
      </w:r>
      <w:r>
        <w:rPr>
          <w:rFonts w:hint="eastAsia" w:ascii="Times New Roman" w:eastAsia="仿宋_GB2312" w:cs="仿宋_GB2312"/>
          <w:color w:val="000000"/>
          <w:u w:val="single"/>
          <w:lang w:val="en-US" w:eastAsia="zh-CN"/>
        </w:rPr>
        <w:t>1.</w:t>
      </w:r>
      <w:r>
        <w:rPr>
          <w:rFonts w:hint="eastAsia" w:ascii="Times New Roman" w:eastAsia="仿宋_GB2312" w:cs="仿宋_GB2312"/>
          <w:color w:val="000000"/>
          <w:u w:val="single"/>
          <w:lang w:eastAsia="zh-CN"/>
        </w:rPr>
        <w:t>当事人的《</w:t>
      </w:r>
      <w:r>
        <w:rPr>
          <w:rFonts w:hint="eastAsia" w:ascii="Times New Roman" w:eastAsia="仿宋_GB2312" w:cs="仿宋_GB2312"/>
          <w:color w:val="000000"/>
          <w:u w:val="single"/>
          <w:lang w:val="en-US" w:eastAsia="zh-CN"/>
        </w:rPr>
        <w:t>营业执照</w:t>
      </w:r>
      <w:r>
        <w:rPr>
          <w:rFonts w:hint="eastAsia" w:ascii="Times New Roman" w:eastAsia="仿宋_GB2312" w:cs="仿宋_GB2312"/>
          <w:color w:val="000000"/>
          <w:u w:val="single"/>
          <w:lang w:eastAsia="zh-CN"/>
        </w:rPr>
        <w:t>》、《</w:t>
      </w:r>
      <w:r>
        <w:rPr>
          <w:rFonts w:hint="eastAsia" w:ascii="仿宋" w:hAnsi="仿宋" w:eastAsia="仿宋" w:cs="仿宋"/>
          <w:color w:val="auto"/>
          <w:sz w:val="32"/>
          <w:szCs w:val="32"/>
          <w:highlight w:val="none"/>
          <w:u w:val="single"/>
          <w:lang w:val="en-US" w:eastAsia="zh-CN"/>
        </w:rPr>
        <w:t>食品经营许可证</w:t>
      </w:r>
      <w:r>
        <w:rPr>
          <w:rFonts w:hint="eastAsia" w:ascii="Times New Roman" w:eastAsia="仿宋_GB2312" w:cs="仿宋_GB2312"/>
          <w:color w:val="000000"/>
          <w:u w:val="single"/>
          <w:lang w:eastAsia="zh-CN"/>
        </w:rPr>
        <w:t>》、</w:t>
      </w:r>
      <w:r>
        <w:rPr>
          <w:rFonts w:hint="eastAsia" w:ascii="Times New Roman" w:eastAsia="仿宋_GB2312" w:cs="仿宋_GB2312"/>
          <w:color w:val="000000"/>
          <w:u w:val="single"/>
          <w:lang w:val="en-US" w:eastAsia="zh-CN"/>
        </w:rPr>
        <w:t>负责人的身份证</w:t>
      </w:r>
      <w:r>
        <w:rPr>
          <w:rFonts w:hint="eastAsia" w:ascii="Times New Roman" w:eastAsia="仿宋_GB2312" w:cs="仿宋_GB2312"/>
          <w:color w:val="000000"/>
          <w:u w:val="single"/>
          <w:lang w:eastAsia="zh-CN"/>
        </w:rPr>
        <w:t>复印件各一份，</w:t>
      </w:r>
      <w:r>
        <w:rPr>
          <w:rFonts w:hint="eastAsia" w:ascii="Times New Roman" w:eastAsia="仿宋_GB2312" w:cs="仿宋_GB2312"/>
          <w:color w:val="000000"/>
          <w:u w:val="single"/>
        </w:rPr>
        <w:t>证明</w:t>
      </w:r>
      <w:r>
        <w:rPr>
          <w:rFonts w:hint="eastAsia" w:ascii="Times New Roman" w:eastAsia="仿宋_GB2312" w:cs="仿宋_GB2312"/>
          <w:color w:val="000000"/>
          <w:u w:val="single"/>
          <w:lang w:eastAsia="zh-CN"/>
        </w:rPr>
        <w:t>当事人的从业资格和人员身份。</w:t>
      </w:r>
    </w:p>
    <w:p w14:paraId="2A9E6AB7">
      <w:pPr>
        <w:pStyle w:val="2"/>
        <w:tabs>
          <w:tab w:val="left" w:pos="8285"/>
        </w:tabs>
        <w:spacing w:line="520" w:lineRule="exact"/>
        <w:ind w:firstLine="640" w:firstLineChars="200"/>
        <w:rPr>
          <w:rFonts w:hint="eastAsia" w:ascii="Times New Roman" w:eastAsia="仿宋_GB2312" w:cs="仿宋_GB2312"/>
          <w:color w:val="000000"/>
          <w:u w:val="single"/>
          <w:lang w:eastAsia="zh-CN"/>
        </w:rPr>
      </w:pPr>
      <w:r>
        <w:rPr>
          <w:rFonts w:hint="eastAsia" w:ascii="Times New Roman" w:eastAsia="仿宋_GB2312" w:cs="仿宋_GB2312"/>
          <w:color w:val="000000"/>
          <w:u w:val="single"/>
          <w:lang w:val="en-US" w:eastAsia="zh-CN"/>
        </w:rPr>
        <w:t>2.《检验报告》（</w:t>
      </w:r>
      <w:r>
        <w:rPr>
          <w:rFonts w:hint="eastAsia" w:ascii="Times New Roman" w:eastAsia="仿宋_GB2312" w:cs="Mongolian Baiti"/>
          <w:kern w:val="1"/>
          <w:sz w:val="32"/>
          <w:szCs w:val="32"/>
          <w:u w:val="single"/>
          <w:lang w:val="en-US" w:eastAsia="zh-CN"/>
        </w:rPr>
        <w:t>N</w:t>
      </w:r>
      <w:r>
        <w:rPr>
          <w:rFonts w:hint="eastAsia" w:ascii="Times New Roman" w:eastAsia="仿宋_GB2312" w:cs="仿宋_GB2312"/>
          <w:color w:val="000000"/>
          <w:u w:val="single"/>
          <w:lang w:val="en-US" w:eastAsia="zh-CN"/>
        </w:rPr>
        <w:t>o:TX2025CJ20385)、《食品安全抽样检验抽样单》（非网络）、《检验结果通知书确认收到回执单》、抽检照片5张，证明当事人销售的尖椒不合格的事实存在。</w:t>
      </w:r>
    </w:p>
    <w:p w14:paraId="1A180D5F">
      <w:pPr>
        <w:pStyle w:val="2"/>
        <w:tabs>
          <w:tab w:val="left" w:pos="8285"/>
        </w:tabs>
        <w:spacing w:line="520" w:lineRule="exact"/>
        <w:ind w:firstLine="640" w:firstLineChars="200"/>
        <w:rPr>
          <w:rFonts w:hint="eastAsia" w:ascii="Times New Roman" w:eastAsia="仿宋_GB2312" w:cs="仿宋_GB2312"/>
          <w:color w:val="000000"/>
          <w:u w:val="single"/>
          <w:lang w:val="en-US" w:eastAsia="zh-CN"/>
        </w:rPr>
      </w:pPr>
      <w:r>
        <w:rPr>
          <w:rFonts w:hint="eastAsia" w:ascii="Times New Roman" w:eastAsia="仿宋_GB2312" w:cs="仿宋_GB2312"/>
          <w:color w:val="000000"/>
          <w:u w:val="single"/>
          <w:lang w:val="en-US" w:eastAsia="zh-CN"/>
        </w:rPr>
        <w:t>3.</w:t>
      </w:r>
      <w:r>
        <w:rPr>
          <w:rFonts w:hint="eastAsia" w:ascii="Times New Roman" w:eastAsia="仿宋_GB2312" w:cs="仿宋_GB2312"/>
          <w:color w:val="000000"/>
          <w:u w:val="single"/>
          <w:lang w:eastAsia="zh-CN"/>
        </w:rPr>
        <w:t>现场检查照片</w:t>
      </w:r>
      <w:r>
        <w:rPr>
          <w:rFonts w:hint="eastAsia" w:ascii="Times New Roman" w:eastAsia="仿宋_GB2312" w:cs="仿宋_GB2312"/>
          <w:color w:val="000000"/>
          <w:u w:val="single"/>
          <w:lang w:val="en-US" w:eastAsia="zh-CN"/>
        </w:rPr>
        <w:t>2张</w:t>
      </w:r>
      <w:r>
        <w:rPr>
          <w:rFonts w:hint="eastAsia" w:ascii="Times New Roman" w:eastAsia="仿宋_GB2312" w:cs="仿宋_GB2312"/>
          <w:color w:val="000000"/>
          <w:u w:val="single"/>
          <w:lang w:eastAsia="zh-CN"/>
        </w:rPr>
        <w:t>、现场检查笔录一份、询问照片</w:t>
      </w:r>
      <w:r>
        <w:rPr>
          <w:rFonts w:hint="eastAsia" w:ascii="Times New Roman" w:eastAsia="仿宋_GB2312" w:cs="仿宋_GB2312"/>
          <w:color w:val="000000"/>
          <w:u w:val="single"/>
          <w:lang w:val="en-US" w:eastAsia="zh-CN"/>
        </w:rPr>
        <w:t>3</w:t>
      </w:r>
      <w:r>
        <w:rPr>
          <w:rFonts w:hint="eastAsia" w:ascii="Times New Roman" w:eastAsia="仿宋_GB2312" w:cs="仿宋_GB2312"/>
          <w:color w:val="000000"/>
          <w:u w:val="single"/>
          <w:lang w:eastAsia="zh-CN"/>
        </w:rPr>
        <w:t>张、询问笔录一份</w:t>
      </w:r>
      <w:r>
        <w:rPr>
          <w:rFonts w:hint="eastAsia" w:ascii="Times New Roman" w:eastAsia="仿宋_GB2312" w:cs="仿宋_GB2312"/>
          <w:color w:val="000000"/>
          <w:u w:val="single"/>
        </w:rPr>
        <w:t>，证明</w:t>
      </w:r>
      <w:r>
        <w:rPr>
          <w:rFonts w:hint="eastAsia" w:ascii="Times New Roman" w:eastAsia="仿宋_GB2312" w:cs="仿宋_GB2312"/>
          <w:color w:val="000000"/>
          <w:u w:val="single"/>
          <w:lang w:eastAsia="zh-CN"/>
        </w:rPr>
        <w:t>当事人的违法事实和违法情节</w:t>
      </w:r>
      <w:r>
        <w:rPr>
          <w:rFonts w:hint="eastAsia" w:ascii="Times New Roman" w:eastAsia="仿宋_GB2312" w:cs="仿宋_GB2312"/>
          <w:color w:val="000000"/>
          <w:u w:val="single"/>
          <w:lang w:val="en-US" w:eastAsia="zh-CN"/>
        </w:rPr>
        <w:t>。</w:t>
      </w:r>
    </w:p>
    <w:p w14:paraId="55EFA41E">
      <w:pPr>
        <w:pStyle w:val="2"/>
        <w:tabs>
          <w:tab w:val="left" w:pos="8285"/>
        </w:tabs>
        <w:spacing w:line="520" w:lineRule="exact"/>
        <w:ind w:firstLine="640" w:firstLineChars="200"/>
        <w:rPr>
          <w:rFonts w:hint="default" w:ascii="Times New Roman" w:eastAsia="仿宋_GB2312" w:cs="仿宋_GB2312"/>
          <w:color w:val="000000"/>
          <w:u w:val="single"/>
          <w:lang w:val="en-US" w:eastAsia="zh-CN"/>
        </w:rPr>
      </w:pPr>
      <w:r>
        <w:rPr>
          <w:rFonts w:hint="eastAsia" w:ascii="Times New Roman" w:eastAsia="仿宋_GB2312" w:cs="仿宋_GB2312"/>
          <w:color w:val="000000"/>
          <w:u w:val="single"/>
          <w:lang w:val="en-US" w:eastAsia="zh-CN"/>
        </w:rPr>
        <w:t>4.《食品安全抽样检验抽样单》供货商联系人王书明（焦书明）询问笔录一份、询问照片3张，当事人进货时</w:t>
      </w:r>
      <w:r>
        <w:rPr>
          <w:rFonts w:hint="eastAsia" w:ascii="Times New Roman" w:eastAsia="仿宋_GB2312" w:cs="仿宋_GB2312"/>
          <w:color w:val="auto"/>
          <w:u w:val="single"/>
          <w:lang w:val="en-US" w:eastAsia="zh-CN"/>
        </w:rPr>
        <w:t>现金支付收款收据凭证</w:t>
      </w:r>
      <w:r>
        <w:rPr>
          <w:rFonts w:hint="eastAsia" w:ascii="Times New Roman" w:eastAsia="仿宋_GB2312" w:cs="仿宋_GB2312"/>
          <w:color w:val="000000"/>
          <w:u w:val="single"/>
          <w:lang w:val="en-US" w:eastAsia="zh-CN"/>
        </w:rPr>
        <w:t>复印件一份，及当事人进货登记本复印件一份，证明当事人进货的事实。</w:t>
      </w:r>
    </w:p>
    <w:p w14:paraId="42F948E7">
      <w:pPr>
        <w:pStyle w:val="2"/>
        <w:tabs>
          <w:tab w:val="left" w:pos="8285"/>
        </w:tabs>
        <w:spacing w:line="520" w:lineRule="exact"/>
        <w:ind w:firstLine="640" w:firstLineChars="200"/>
        <w:rPr>
          <w:rFonts w:hint="eastAsia" w:ascii="Times New Roman" w:eastAsia="仿宋_GB2312" w:cs="仿宋_GB2312"/>
          <w:color w:val="000000"/>
          <w:u w:val="single"/>
          <w:lang w:val="en-US" w:eastAsia="zh-CN"/>
        </w:rPr>
      </w:pPr>
      <w:r>
        <w:rPr>
          <w:rFonts w:hint="eastAsia" w:ascii="Times New Roman" w:eastAsia="仿宋_GB2312" w:cs="仿宋_GB2312"/>
          <w:color w:val="000000"/>
          <w:u w:val="single"/>
          <w:lang w:val="en-US" w:eastAsia="zh-CN"/>
        </w:rPr>
        <w:t>上述证据都经当事人签字盖章确认。</w:t>
      </w:r>
    </w:p>
    <w:p w14:paraId="45EB5458">
      <w:pPr>
        <w:pStyle w:val="2"/>
        <w:tabs>
          <w:tab w:val="left" w:pos="9060"/>
        </w:tabs>
        <w:spacing w:line="520" w:lineRule="exact"/>
        <w:ind w:firstLine="640" w:firstLineChars="200"/>
        <w:rPr>
          <w:rFonts w:hint="eastAsia" w:ascii="Times New Roman" w:eastAsia="仿宋_GB2312" w:cs="仿宋_GB2312"/>
          <w:color w:val="000000"/>
          <w:u w:val="single"/>
          <w:lang w:val="en-US" w:eastAsia="zh-CN"/>
        </w:rPr>
      </w:pPr>
    </w:p>
    <w:p w14:paraId="77D9F23D">
      <w:pPr>
        <w:pStyle w:val="2"/>
        <w:tabs>
          <w:tab w:val="left" w:pos="9060"/>
        </w:tabs>
        <w:spacing w:line="520" w:lineRule="exact"/>
        <w:ind w:firstLine="640" w:firstLineChars="200"/>
        <w:rPr>
          <w:rFonts w:hint="eastAsia" w:ascii="Times New Roman" w:eastAsia="仿宋_GB2312" w:cs="仿宋_GB2312"/>
          <w:color w:val="000000"/>
          <w:u w:val="single"/>
        </w:rPr>
      </w:pPr>
      <w:r>
        <w:rPr>
          <w:rFonts w:hint="eastAsia" w:ascii="Times New Roman" w:eastAsia="仿宋_GB2312" w:cs="仿宋_GB2312"/>
          <w:color w:val="000000"/>
          <w:u w:val="single"/>
          <w:lang w:val="en-US" w:eastAsia="zh-CN"/>
        </w:rPr>
        <w:t>依据《中华人民共和国行政处罚法》和《市场监督管理行政处罚程序规定》以及《市场监督管理行政处罚听证办法》第五条的规定，我局</w:t>
      </w:r>
      <w:r>
        <w:rPr>
          <w:rFonts w:hint="eastAsia" w:ascii="Times New Roman" w:eastAsia="仿宋_GB2312" w:cs="仿宋_GB2312"/>
          <w:color w:val="000000" w:themeColor="text1"/>
          <w:u w:val="single"/>
          <w:lang w:val="en-US" w:eastAsia="zh-CN"/>
          <w14:textFill>
            <w14:solidFill>
              <w14:schemeClr w14:val="tx1"/>
            </w14:solidFill>
          </w14:textFill>
        </w:rPr>
        <w:t>于2026年1月29日向</w:t>
      </w:r>
      <w:r>
        <w:rPr>
          <w:rFonts w:hint="eastAsia" w:ascii="Times New Roman" w:eastAsia="仿宋_GB2312" w:cs="仿宋_GB2312"/>
          <w:color w:val="000000"/>
          <w:u w:val="single"/>
          <w:lang w:val="en-US" w:eastAsia="zh-CN"/>
        </w:rPr>
        <w:t>当事人送达了《行政处罚告知书》平市监罚告〔2026〕</w:t>
      </w:r>
      <w:r>
        <w:rPr>
          <w:rFonts w:hint="eastAsia" w:ascii="Times New Roman" w:eastAsia="仿宋_GB2312" w:cs="仿宋_GB2312"/>
          <w:color w:val="auto"/>
          <w:u w:val="single"/>
          <w:lang w:val="en-US" w:eastAsia="zh-CN"/>
        </w:rPr>
        <w:t xml:space="preserve"> </w:t>
      </w:r>
      <w:r>
        <w:rPr>
          <w:rFonts w:hint="eastAsia" w:ascii="Times New Roman" w:eastAsia="仿宋_GB2312" w:cs="仿宋_GB2312"/>
          <w:color w:val="000000"/>
          <w:u w:val="single"/>
          <w:lang w:val="en-US" w:eastAsia="zh-CN"/>
        </w:rPr>
        <w:t xml:space="preserve">号。当事人在法定期限内未向我局提出陈述和申辩。在法定期限内当事人未申请复核、听证。 </w:t>
      </w:r>
    </w:p>
    <w:p w14:paraId="1106B73C">
      <w:pPr>
        <w:pStyle w:val="2"/>
        <w:tabs>
          <w:tab w:val="left" w:pos="9060"/>
        </w:tabs>
        <w:spacing w:line="520" w:lineRule="exact"/>
        <w:ind w:firstLine="640" w:firstLineChars="200"/>
        <w:rPr>
          <w:rFonts w:hint="eastAsia" w:ascii="Times New Roman" w:eastAsia="仿宋_GB2312" w:cs="仿宋_GB2312"/>
          <w:color w:val="000000"/>
          <w:u w:val="single"/>
          <w:lang w:eastAsia="zh-CN"/>
        </w:rPr>
      </w:pPr>
      <w:r>
        <w:rPr>
          <w:rFonts w:hint="eastAsia" w:ascii="Times New Roman" w:eastAsia="仿宋_GB2312" w:cs="仿宋_GB2312"/>
          <w:color w:val="000000"/>
          <w:u w:val="none"/>
        </w:rPr>
        <w:t>本局认为</w:t>
      </w:r>
      <w:r>
        <w:rPr>
          <w:rFonts w:hint="eastAsia" w:ascii="Times New Roman" w:eastAsia="仿宋_GB2312" w:cs="仿宋_GB2312"/>
          <w:color w:val="000000"/>
          <w:u w:val="single"/>
        </w:rPr>
        <w:t>，</w:t>
      </w:r>
      <w:r>
        <w:rPr>
          <w:rFonts w:hint="eastAsia" w:ascii="Times New Roman" w:eastAsia="仿宋_GB2312" w:cs="仿宋_GB2312"/>
          <w:color w:val="000000"/>
          <w:u w:val="single"/>
          <w:lang w:val="en-US" w:eastAsia="zh-CN"/>
        </w:rPr>
        <w:t>当事人</w:t>
      </w:r>
      <w:r>
        <w:rPr>
          <w:rFonts w:hint="eastAsia" w:ascii="Times New Roman" w:hAnsi="Times New Roman" w:eastAsia="仿宋_GB2312" w:cs="仿宋_GB2312"/>
          <w:color w:val="000000"/>
          <w:u w:val="single"/>
          <w:lang w:val="en-US" w:eastAsia="zh-CN"/>
        </w:rPr>
        <w:t>经营农药残留超过食品安全标准限量的食品的</w:t>
      </w:r>
      <w:r>
        <w:rPr>
          <w:rFonts w:hint="eastAsia" w:ascii="Times New Roman" w:eastAsia="仿宋_GB2312" w:cs="仿宋_GB2312"/>
          <w:color w:val="000000"/>
          <w:u w:val="single"/>
          <w:lang w:val="en-US" w:eastAsia="zh-CN"/>
        </w:rPr>
        <w:t>行为违反了《中华人民共和国食品安全法》（2025年9月12日修正）第三十四条第二项“禁止生产经营下列食品、</w:t>
      </w:r>
      <w:r>
        <w:rPr>
          <w:rFonts w:hint="eastAsia" w:ascii="Times New Roman" w:eastAsia="仿宋_GB2312" w:cs="仿宋_GB2312"/>
          <w:color w:val="000000"/>
          <w:u w:val="single"/>
          <w:lang w:eastAsia="zh-CN"/>
        </w:rPr>
        <w:t>食品添加剂、食品相关产品：（二）致病性微生物，农药残留、兽药残留、生物毒素、重金属等污染物质以及其他危害人体健康的物质含量超过食品安全标准限量的食品、食品添加剂、食品相关产品；</w:t>
      </w:r>
      <w:r>
        <w:rPr>
          <w:rFonts w:hint="eastAsia" w:ascii="Times New Roman" w:eastAsia="仿宋_GB2312" w:cs="仿宋_GB2312"/>
          <w:color w:val="000000"/>
          <w:u w:val="single"/>
          <w:lang w:val="en-US" w:eastAsia="zh-CN"/>
        </w:rPr>
        <w:t>”</w:t>
      </w:r>
      <w:r>
        <w:rPr>
          <w:rFonts w:hint="eastAsia" w:ascii="Times New Roman" w:eastAsia="仿宋_GB2312" w:cs="仿宋_GB2312"/>
          <w:color w:val="000000"/>
          <w:u w:val="single"/>
          <w:lang w:eastAsia="zh-CN"/>
        </w:rPr>
        <w:t>之规定，</w:t>
      </w:r>
      <w:r>
        <w:rPr>
          <w:rFonts w:hint="eastAsia" w:ascii="Times New Roman" w:eastAsia="仿宋_GB2312" w:cs="仿宋_GB2312"/>
          <w:color w:val="000000"/>
          <w:u w:val="single"/>
          <w:lang w:val="en-US" w:eastAsia="zh-CN"/>
        </w:rPr>
        <w:t>属于</w:t>
      </w:r>
      <w:r>
        <w:rPr>
          <w:rFonts w:hint="eastAsia" w:ascii="仿宋_GB2312" w:hAnsi="仿宋" w:eastAsia="仿宋_GB2312" w:cs="仿宋"/>
          <w:color w:val="000000"/>
          <w:sz w:val="32"/>
          <w:szCs w:val="32"/>
          <w:u w:val="single"/>
          <w:lang w:val="en-US" w:eastAsia="zh-CN"/>
        </w:rPr>
        <w:t>经营农药残留超过食品安全标准限量的食品的</w:t>
      </w:r>
      <w:r>
        <w:rPr>
          <w:rFonts w:hint="eastAsia" w:ascii="仿宋_GB2312" w:eastAsia="仿宋_GB2312" w:cs="Mongolian Baiti"/>
          <w:kern w:val="1"/>
          <w:u w:val="single"/>
          <w:lang w:val="en-US" w:eastAsia="zh-CN"/>
        </w:rPr>
        <w:t>行为</w:t>
      </w:r>
      <w:r>
        <w:rPr>
          <w:rFonts w:hint="eastAsia" w:ascii="Times New Roman" w:eastAsia="仿宋_GB2312" w:cs="仿宋_GB2312"/>
          <w:color w:val="000000"/>
          <w:u w:val="single"/>
          <w:lang w:eastAsia="zh-CN"/>
        </w:rPr>
        <w:t>。</w:t>
      </w:r>
    </w:p>
    <w:p w14:paraId="5F8DE19E">
      <w:pPr>
        <w:pStyle w:val="2"/>
        <w:tabs>
          <w:tab w:val="left" w:pos="9060"/>
        </w:tabs>
        <w:spacing w:line="520" w:lineRule="exact"/>
        <w:ind w:firstLine="640" w:firstLineChars="200"/>
        <w:rPr>
          <w:rFonts w:hint="eastAsia" w:ascii="Times New Roman" w:eastAsia="仿宋_GB2312" w:cs="仿宋_GB2312"/>
          <w:color w:val="000000"/>
          <w:u w:val="single"/>
          <w:lang w:val="en-US" w:eastAsia="zh-CN"/>
        </w:rPr>
      </w:pPr>
      <w:r>
        <w:rPr>
          <w:rFonts w:hint="eastAsia" w:ascii="Times New Roman" w:eastAsia="仿宋_GB2312" w:cs="仿宋_GB2312"/>
          <w:color w:val="000000"/>
          <w:u w:val="single"/>
          <w:lang w:val="en-US" w:eastAsia="zh-CN"/>
        </w:rPr>
        <w:t>当事人能积极配合我局的调查工作，如实陈述违法事实并主动提供证据材料，且涉案金额较小，及时对不合格产品召回，并且到本案调查终结报告之日没有收到因涉案食品引起的不良反应报告。</w:t>
      </w:r>
      <w:r>
        <w:rPr>
          <w:rFonts w:hint="eastAsia" w:ascii="仿宋_GB2312" w:hAnsi="Times New Roman" w:eastAsia="仿宋_GB2312" w:cs="Mongolian Baiti"/>
          <w:color w:val="auto"/>
          <w:kern w:val="1"/>
          <w:sz w:val="32"/>
          <w:szCs w:val="32"/>
          <w:u w:val="single"/>
          <w:lang w:val="en-US" w:eastAsia="zh-CN" w:bidi="ar-SA"/>
        </w:rPr>
        <w:t>本着处罚与教育相结合，行政处罚与违法事实性质、情节及社会危害程度相当，</w:t>
      </w:r>
      <w:r>
        <w:rPr>
          <w:rFonts w:hint="eastAsia" w:ascii="Times New Roman" w:eastAsia="仿宋_GB2312" w:cs="仿宋_GB2312"/>
          <w:color w:val="000000"/>
          <w:u w:val="single"/>
          <w:lang w:val="en-US" w:eastAsia="zh-CN"/>
        </w:rPr>
        <w:t>参照《河北省市场监督管理系统行政处罚裁量权适用规则》第十五条：“当事人有下列情形之一的，可以依法从轻或者减轻行政处罚：（二）积极配合市场监督管理机关调查，如实陈述违法事实并主动提供证据材料的;（三）违法行为轻微，社会危害性较小；</w:t>
      </w:r>
      <w:r>
        <w:rPr>
          <w:rFonts w:hint="default" w:ascii="Times New Roman" w:eastAsia="仿宋_GB2312" w:cs="仿宋_GB2312"/>
          <w:color w:val="000000"/>
          <w:u w:val="single"/>
          <w:lang w:val="en-US" w:eastAsia="zh-CN"/>
        </w:rPr>
        <w:t>”</w:t>
      </w:r>
      <w:r>
        <w:rPr>
          <w:rFonts w:hint="eastAsia" w:ascii="Times New Roman" w:eastAsia="仿宋_GB2312" w:cs="仿宋_GB2312"/>
          <w:color w:val="000000"/>
          <w:u w:val="single"/>
          <w:lang w:val="en-US" w:eastAsia="zh-CN"/>
        </w:rPr>
        <w:t>的规定，</w:t>
      </w:r>
      <w:r>
        <w:rPr>
          <w:rFonts w:hint="eastAsia" w:ascii="仿宋_GB2312" w:hAnsi="Times New Roman" w:eastAsia="仿宋_GB2312" w:cs="Mongolian Baiti"/>
          <w:color w:val="auto"/>
          <w:kern w:val="1"/>
          <w:sz w:val="32"/>
          <w:szCs w:val="32"/>
          <w:u w:val="single"/>
          <w:lang w:val="en-US" w:eastAsia="zh-CN" w:bidi="ar-SA"/>
        </w:rPr>
        <w:t>按照过罚相当综合裁量原则，</w:t>
      </w:r>
      <w:r>
        <w:rPr>
          <w:rFonts w:hint="eastAsia" w:ascii="Times New Roman" w:eastAsia="仿宋_GB2312" w:cs="仿宋_GB2312"/>
          <w:color w:val="000000"/>
          <w:u w:val="single"/>
          <w:lang w:val="en-US" w:eastAsia="zh-CN"/>
        </w:rPr>
        <w:t>可以对当事人予以减轻行政处罚。</w:t>
      </w:r>
    </w:p>
    <w:p w14:paraId="78925E8E">
      <w:pPr>
        <w:pStyle w:val="2"/>
        <w:tabs>
          <w:tab w:val="left" w:pos="9060"/>
        </w:tabs>
        <w:spacing w:line="520" w:lineRule="exact"/>
        <w:ind w:firstLine="640" w:firstLineChars="200"/>
        <w:rPr>
          <w:rFonts w:hint="eastAsia" w:ascii="Times New Roman" w:eastAsia="仿宋_GB2312" w:cs="仿宋_GB2312"/>
          <w:color w:val="000000"/>
          <w:u w:val="single"/>
          <w:lang w:val="en-US" w:eastAsia="zh-CN"/>
        </w:rPr>
      </w:pPr>
      <w:r>
        <w:rPr>
          <w:rFonts w:hint="eastAsia" w:ascii="Times New Roman" w:eastAsia="仿宋_GB2312" w:cs="仿宋_GB2312"/>
          <w:color w:val="000000"/>
          <w:u w:val="none"/>
        </w:rPr>
        <w:t>综上，</w:t>
      </w:r>
      <w:r>
        <w:rPr>
          <w:rFonts w:hint="eastAsia" w:ascii="Times New Roman" w:eastAsia="仿宋_GB2312" w:cs="仿宋_GB2312"/>
          <w:color w:val="000000"/>
          <w:u w:val="single"/>
        </w:rPr>
        <w:t>当事人</w:t>
      </w:r>
      <w:r>
        <w:rPr>
          <w:rFonts w:hint="eastAsia" w:ascii="Times New Roman" w:hAnsi="Times New Roman" w:eastAsia="仿宋_GB2312" w:cs="仿宋_GB2312"/>
          <w:color w:val="000000"/>
          <w:u w:val="single"/>
          <w:lang w:val="en-US" w:eastAsia="zh-CN"/>
        </w:rPr>
        <w:t>经营农药残留超过食品安全标准限量的食品的</w:t>
      </w:r>
      <w:r>
        <w:rPr>
          <w:rFonts w:hint="eastAsia" w:ascii="Times New Roman" w:eastAsia="仿宋_GB2312" w:cs="仿宋_GB2312"/>
          <w:color w:val="000000"/>
          <w:u w:val="single"/>
        </w:rPr>
        <w:t>行为</w:t>
      </w:r>
      <w:r>
        <w:rPr>
          <w:rFonts w:hint="eastAsia" w:ascii="Times New Roman" w:eastAsia="仿宋_GB2312" w:cs="仿宋_GB2312"/>
          <w:color w:val="000000"/>
          <w:u w:val="single"/>
          <w:lang w:val="en-US" w:eastAsia="zh-CN"/>
        </w:rPr>
        <w:t>依据《中华人民共和国食品安全法》（2025年9月12日修正）第一百二十四条第一款第</w:t>
      </w:r>
      <w:r>
        <w:rPr>
          <w:rFonts w:hint="default" w:ascii="Times New Roman" w:eastAsia="仿宋_GB2312" w:cs="仿宋_GB2312"/>
          <w:color w:val="000000"/>
          <w:u w:val="single"/>
          <w:lang w:val="en-US" w:eastAsia="zh-CN"/>
        </w:rPr>
        <w:t>（</w:t>
      </w:r>
      <w:r>
        <w:rPr>
          <w:rFonts w:hint="eastAsia" w:ascii="Times New Roman" w:eastAsia="仿宋_GB2312" w:cs="仿宋_GB2312"/>
          <w:color w:val="000000"/>
          <w:u w:val="single"/>
          <w:lang w:val="en-US" w:eastAsia="zh-CN"/>
        </w:rPr>
        <w:t>一</w:t>
      </w:r>
      <w:r>
        <w:rPr>
          <w:rFonts w:hint="default" w:ascii="Times New Roman" w:eastAsia="仿宋_GB2312" w:cs="仿宋_GB2312"/>
          <w:color w:val="000000"/>
          <w:u w:val="single"/>
          <w:lang w:val="en-US" w:eastAsia="zh-CN"/>
        </w:rPr>
        <w:t>）</w:t>
      </w:r>
      <w:r>
        <w:rPr>
          <w:rFonts w:hint="eastAsia" w:ascii="Times New Roman" w:eastAsia="仿宋_GB2312" w:cs="仿宋_GB2312"/>
          <w:color w:val="000000"/>
          <w:u w:val="single"/>
          <w:lang w:val="en-US" w:eastAsia="zh-CN"/>
        </w:rPr>
        <w:t>项“</w:t>
      </w:r>
      <w:r>
        <w:rPr>
          <w:rFonts w:hint="eastAsia" w:ascii="Times New Roman" w:eastAsia="仿宋_GB2312" w:cs="仿宋_GB2312"/>
          <w:color w:val="000000"/>
          <w:u w:val="single"/>
          <w:lang w:eastAsia="zh-CN"/>
        </w:rPr>
        <w:t>违反本法规定，有下列情形之一，尚不构成犯罪的，由县级以上人民政府食品安全监督管理部门没收违法所得和违法生产经营的食品、食品添加剂，并可以没收用于违法生产经营的工具、设备、原料等物品；违法生产经营的食品、食品添加剂货值金额不足一万元的，并处五万元以上十万元以下罚款；货值金额一万元以上的，并处货值金额十倍以上二十倍以下罚款；情节严重的，吊销许可证：（一）生产经营致病性微生物，农药残留、兽药残留、生物毒素、重金属等污染物质以及其他危害人体健康的物质含量超过食品安全标准限量的食品、食品添加剂；</w:t>
      </w:r>
      <w:r>
        <w:rPr>
          <w:rFonts w:hint="eastAsia" w:ascii="Times New Roman" w:eastAsia="仿宋_GB2312" w:cs="仿宋_GB2312"/>
          <w:color w:val="000000"/>
          <w:u w:val="single"/>
          <w:lang w:val="en-US" w:eastAsia="zh-CN"/>
        </w:rPr>
        <w:t>”之规定，应当没收违法所得和违法生产经营的食品，并处五万元以上十万元以下罚款。</w:t>
      </w:r>
    </w:p>
    <w:p w14:paraId="7D736CAB">
      <w:pPr>
        <w:pStyle w:val="2"/>
        <w:tabs>
          <w:tab w:val="left" w:pos="9060"/>
        </w:tabs>
        <w:spacing w:line="520" w:lineRule="exact"/>
        <w:ind w:firstLine="640" w:firstLineChars="200"/>
        <w:rPr>
          <w:rFonts w:hint="eastAsia" w:ascii="Times New Roman" w:eastAsia="仿宋_GB2312" w:cs="仿宋_GB2312"/>
          <w:color w:val="000000"/>
          <w:u w:val="single"/>
        </w:rPr>
      </w:pPr>
      <w:r>
        <w:rPr>
          <w:rFonts w:hint="eastAsia" w:ascii="Times New Roman" w:eastAsia="仿宋_GB2312" w:cs="仿宋_GB2312"/>
          <w:color w:val="000000"/>
          <w:u w:val="single"/>
          <w:lang w:val="en-US" w:eastAsia="zh-CN"/>
        </w:rPr>
        <w:t xml:space="preserve">  鉴于当事人有可以减轻的情节，依据《河北省市场监督管理系统行政处罚裁量权适用规则》第九条第一项：“减轻行政处罚是指适用法定行政处罚最低限度以下的行政处罚种类或者行政处罚幅度。包括在违法行为应当受到的一种或者几种行政处罚种类之外选择更轻的行政处罚种类，或者在应当并处时不并处；也包括在法定最低罚款数额以下确定罚款数额。”之规定，责令当事人改正违法行为，决定对当事人作如下行政处罚:1.没收违法所得贰拾伍元整（25元）；2.罚款壹万元整（10000元）。</w:t>
      </w:r>
    </w:p>
    <w:p w14:paraId="4518B76C">
      <w:pPr>
        <w:rPr>
          <w:rFonts w:hint="eastAsia" w:ascii="Times New Roman" w:hAnsi="Times New Roman" w:eastAsia="仿宋_GB2312" w:cs="仿宋_GB2312"/>
          <w:color w:val="000000"/>
          <w:kern w:val="0"/>
          <w:sz w:val="32"/>
          <w:szCs w:val="32"/>
          <w:u w:val="single"/>
          <w:lang w:val="en-US" w:eastAsia="zh-CN" w:bidi="ar-SA"/>
        </w:rPr>
      </w:pPr>
      <w:r>
        <w:rPr>
          <w:rFonts w:hint="eastAsia" w:ascii="Times New Roman" w:hAnsi="Times New Roman" w:eastAsia="仿宋_GB2312" w:cs="仿宋_GB2312"/>
          <w:color w:val="000000"/>
          <w:kern w:val="0"/>
          <w:sz w:val="32"/>
          <w:szCs w:val="32"/>
          <w:u w:val="single"/>
          <w:lang w:val="en-US" w:eastAsia="zh-CN" w:bidi="ar-SA"/>
        </w:rPr>
        <w:t>（行政处罚的履行方式和期限） 当事人应当自收到本处罚决定书之日起十五日内，将罚没款缴至中国邮政储蓄银行平山支行（账户：平山县非税收入服务中心；账号100465638440010001）。到期不缴纳罚款的，依据《中华人</w:t>
      </w:r>
    </w:p>
    <w:p w14:paraId="511BB47D">
      <w:pPr>
        <w:rPr>
          <w:rFonts w:hint="eastAsia" w:ascii="Times New Roman" w:hAnsi="Times New Roman" w:eastAsia="仿宋_GB2312" w:cs="仿宋_GB2312"/>
          <w:color w:val="000000"/>
          <w:kern w:val="0"/>
          <w:sz w:val="32"/>
          <w:szCs w:val="32"/>
          <w:u w:val="single"/>
          <w:lang w:val="en-US" w:eastAsia="zh-CN" w:bidi="ar-SA"/>
        </w:rPr>
      </w:pPr>
    </w:p>
    <w:p w14:paraId="28C10CF5">
      <w:pPr>
        <w:rPr>
          <w:rFonts w:hint="eastAsia" w:ascii="Times New Roman" w:hAnsi="Times New Roman" w:eastAsia="仿宋_GB2312" w:cs="仿宋_GB2312"/>
          <w:color w:val="000000"/>
          <w:kern w:val="0"/>
          <w:sz w:val="32"/>
          <w:szCs w:val="32"/>
          <w:u w:val="single"/>
          <w:lang w:val="en-US" w:eastAsia="zh-CN" w:bidi="ar-SA"/>
        </w:rPr>
      </w:pPr>
      <w:r>
        <w:rPr>
          <w:rFonts w:hint="eastAsia" w:ascii="Times New Roman" w:hAnsi="Times New Roman" w:eastAsia="仿宋_GB2312" w:cs="仿宋_GB2312"/>
          <w:color w:val="000000"/>
          <w:kern w:val="0"/>
          <w:sz w:val="32"/>
          <w:szCs w:val="32"/>
          <w:u w:val="single"/>
          <w:lang w:val="en-US" w:eastAsia="zh-CN" w:bidi="ar-SA"/>
        </w:rPr>
        <w:drawing>
          <wp:inline distT="0" distB="0" distL="114300" distR="114300">
            <wp:extent cx="5266690" cy="8579485"/>
            <wp:effectExtent l="0" t="0" r="10160" b="12065"/>
            <wp:docPr id="2" name="图片 2" descr="625326352de1a927a95a2ab73f4bee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625326352de1a927a95a2ab73f4beee7"/>
                    <pic:cNvPicPr>
                      <a:picLocks noChangeAspect="1"/>
                    </pic:cNvPicPr>
                  </pic:nvPicPr>
                  <pic:blipFill>
                    <a:blip r:embed="rId4"/>
                    <a:stretch>
                      <a:fillRect/>
                    </a:stretch>
                  </pic:blipFill>
                  <pic:spPr>
                    <a:xfrm>
                      <a:off x="0" y="0"/>
                      <a:ext cx="5266690" cy="8579485"/>
                    </a:xfrm>
                    <a:prstGeom prst="rect">
                      <a:avLst/>
                    </a:prstGeom>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decorative"/>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Unicode MS">
    <w:altName w:val="宋体"/>
    <w:panose1 w:val="020B0604020202020204"/>
    <w:charset w:val="86"/>
    <w:family w:val="swiss"/>
    <w:pitch w:val="default"/>
    <w:sig w:usb0="00000000" w:usb1="00000000" w:usb2="0000003F" w:usb3="00000000" w:csb0="603F01FF" w:csb1="FFFF0000"/>
  </w:font>
  <w:font w:name="方正小标宋简体">
    <w:altName w:val="黑体"/>
    <w:panose1 w:val="02010601030101010101"/>
    <w:charset w:val="86"/>
    <w:family w:val="script"/>
    <w:pitch w:val="default"/>
    <w:sig w:usb0="00000000" w:usb1="0000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7A"/>
    <w:family w:val="roman"/>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方正仿宋_GBK">
    <w:altName w:val="宋体"/>
    <w:panose1 w:val="03000509000000000000"/>
    <w:charset w:val="86"/>
    <w:family w:val="script"/>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1EF4EEA"/>
    <w:rsid w:val="4E1458CD"/>
    <w:rsid w:val="513D513B"/>
    <w:rsid w:val="53187F51"/>
    <w:rsid w:val="5BB97AB4"/>
    <w:rsid w:val="5DA00131"/>
    <w:rsid w:val="60936B26"/>
    <w:rsid w:val="6DE071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2231</Words>
  <Characters>2400</Characters>
  <Lines>0</Lines>
  <Paragraphs>0</Paragraphs>
  <TotalTime>1</TotalTime>
  <ScaleCrop>false</ScaleCrop>
  <LinksUpToDate>false</LinksUpToDate>
  <CharactersWithSpaces>2587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2026-02-11T07:16:40Z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eyJoZGlkIjoiMzRlNDRkN2M1NmNmZjk0ZGZhZDI0ZWMzNzFiYzUzZjgifQ==</vt:lpwstr>
  </property>
  <property fmtid="{D5CDD505-2E9C-101B-9397-08002B2CF9AE}" pid="4" name="ICV">
    <vt:lpwstr>AB040EB4868945ABBAEBD1E54057E1FC_12</vt:lpwstr>
  </property>
</Properties>
</file>