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line="640" w:lineRule="exact"/>
        <w:jc w:val="center"/>
        <w:rPr>
          <w:rFonts w:ascii="方正小标宋简体" w:eastAsia="方正小标宋简体" w:cs="方正小标宋简体"/>
          <w:sz w:val="44"/>
          <w:szCs w:val="44"/>
        </w:rPr>
      </w:pPr>
    </w:p>
    <w:p>
      <w:pPr>
        <w:spacing w:line="640" w:lineRule="exact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平山县自然资源和规划局</w:t>
      </w:r>
    </w:p>
    <w:p>
      <w:pPr>
        <w:spacing w:line="640" w:lineRule="exact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ascii="方正小标宋简体" w:eastAsia="方正小标宋简体" w:cs="方正小标宋简体"/>
          <w:sz w:val="44"/>
          <w:szCs w:val="44"/>
        </w:rPr>
        <w:t>2025年法治政府建设工作总结</w:t>
      </w:r>
    </w:p>
    <w:p>
      <w:pPr>
        <w:spacing w:line="640" w:lineRule="exact"/>
        <w:ind w:firstLineChars="200" w:firstLine="880"/>
        <w:rPr>
          <w:rFonts w:ascii="方正小标宋简体" w:eastAsia="方正小标宋简体" w:cs="方正小标宋简体"/>
          <w:sz w:val="44"/>
          <w:szCs w:val="44"/>
        </w:rPr>
      </w:pPr>
    </w:p>
    <w:p>
      <w:pPr>
        <w:spacing w:line="64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2025年，</w:t>
      </w:r>
      <w:r>
        <w:rPr>
          <w:rFonts w:ascii="仿宋_GB2312" w:eastAsia="仿宋_GB2312" w:cs="仿宋_GB2312" w:hint="eastAsia"/>
          <w:sz w:val="32"/>
          <w:szCs w:val="32"/>
        </w:rPr>
        <w:t>我局立足部门职能，将法治建设融入自然资源和规划管理全链条、各环节，持续提升依法行政能力和水平，积极助推法治政府建设走深走实。现将工作开展情况汇报如下：</w:t>
      </w:r>
    </w:p>
    <w:p>
      <w:pPr>
        <w:spacing w:line="640" w:lineRule="exact"/>
        <w:ind w:left="0"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国标黑体" w:eastAsia="国标黑体" w:cs="国标黑体" w:hint="eastAsia"/>
          <w:sz w:val="32"/>
          <w:szCs w:val="32"/>
        </w:rPr>
        <w:t>一、强化制度供给，筑牢法治根基</w:t>
      </w:r>
    </w:p>
    <w:p>
      <w:pPr>
        <w:spacing w:line="64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1、</w:t>
      </w:r>
      <w:r>
        <w:rPr>
          <w:rFonts w:ascii="仿宋_GB2312" w:eastAsia="仿宋_GB2312" w:cs="仿宋_GB2312" w:hint="eastAsia"/>
          <w:sz w:val="32"/>
          <w:szCs w:val="32"/>
        </w:rPr>
        <w:t>严格落实《重大行政决策程序暂行条例》，制定并完善</w:t>
      </w:r>
      <w:r>
        <w:rPr>
          <w:rFonts w:ascii="仿宋_GB2312" w:eastAsia="仿宋_GB2312" w:cs="仿宋_GB2312"/>
          <w:sz w:val="32"/>
          <w:szCs w:val="32"/>
        </w:rPr>
        <w:t>我</w:t>
      </w:r>
      <w:r>
        <w:rPr>
          <w:rFonts w:ascii="仿宋_GB2312" w:eastAsia="仿宋_GB2312" w:cs="仿宋_GB2312" w:hint="eastAsia"/>
          <w:sz w:val="32"/>
          <w:szCs w:val="32"/>
        </w:rPr>
        <w:t>局重大行政决策事项目录及流程。对涉及重大公共利益、群</w:t>
      </w:r>
      <w:bookmarkStart w:id="0" w:name="_GoBack"/>
      <w:bookmarkEnd w:id="0"/>
      <w:r>
        <w:rPr>
          <w:rFonts w:ascii="仿宋_GB2312" w:eastAsia="仿宋_GB2312" w:cs="仿宋_GB2312" w:hint="eastAsia"/>
          <w:sz w:val="32"/>
          <w:szCs w:val="32"/>
        </w:rPr>
        <w:t>众切身利益的规划编制、土地征收成片开发方案、基准地价更新调整等决策事项，严格执行公众参与、专家论证、风险评估、合法性审查、集体讨论决定等法定程序，确保决策科学民主合法。</w:t>
      </w:r>
    </w:p>
    <w:p>
      <w:pPr>
        <w:spacing w:line="64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2、</w:t>
      </w:r>
      <w:r>
        <w:rPr>
          <w:rFonts w:ascii="仿宋_GB2312" w:eastAsia="仿宋_GB2312" w:cs="仿宋_GB2312" w:hint="eastAsia"/>
          <w:sz w:val="32"/>
          <w:szCs w:val="32"/>
        </w:rPr>
        <w:t>将合法性审查作为规范性文件制定、合同签订、重大执法决定、重要协议签署等事项的必经程序，实现审查全覆盖，有效防范法律风险。</w:t>
      </w:r>
    </w:p>
    <w:p>
      <w:pPr>
        <w:spacing w:line="640" w:lineRule="exact"/>
        <w:ind w:left="0" w:firstLineChars="200" w:firstLine="640"/>
        <w:rPr>
          <w:rFonts w:ascii="国标黑体" w:eastAsia="国标黑体" w:cs="国标黑体" w:hint="eastAsia"/>
          <w:sz w:val="32"/>
          <w:szCs w:val="32"/>
        </w:rPr>
      </w:pPr>
      <w:r>
        <w:rPr>
          <w:rFonts w:ascii="国标黑体" w:eastAsia="国标黑体" w:cs="国标黑体" w:hint="eastAsia"/>
          <w:sz w:val="32"/>
          <w:szCs w:val="32"/>
        </w:rPr>
        <w:t>二、规范权力运行，提升执法效能</w:t>
      </w:r>
    </w:p>
    <w:p>
      <w:pPr>
        <w:spacing w:line="640" w:lineRule="exact"/>
        <w:ind w:left="0" w:firstLineChars="200" w:firstLine="640"/>
        <w:rPr>
          <w:rFonts w:ascii="仿宋" w:eastAsia="仿宋"/>
          <w:b w:val="0"/>
          <w:bCs w:val="0"/>
          <w:i w:val="0"/>
          <w:iCs w:val="0"/>
          <w:caps w:val="0"/>
          <w:smallCaps w:val="0"/>
          <w:vanish w:val="0"/>
          <w:spacing w:val="0"/>
          <w:sz w:val="32"/>
          <w:szCs w:val="32"/>
          <w:shd w:val="clear" w:color="auto" w:fill="FFFFFF"/>
        </w:rPr>
      </w:pPr>
      <w:r>
        <w:rPr>
          <w:rFonts w:ascii="仿宋_GB2312" w:eastAsia="仿宋_GB2312" w:cs="仿宋_GB2312"/>
          <w:sz w:val="32"/>
          <w:szCs w:val="32"/>
        </w:rPr>
        <w:t>1、</w:t>
      </w:r>
      <w:r>
        <w:rPr>
          <w:rFonts w:ascii="仿宋_GB2312" w:eastAsia="仿宋_GB2312" w:cs="仿宋_GB2312" w:hint="eastAsia"/>
          <w:sz w:val="32"/>
          <w:szCs w:val="32"/>
        </w:rPr>
        <w:t>通过</w:t>
      </w:r>
      <w:r>
        <w:rPr>
          <w:rFonts w:ascii="仿宋_GB2312" w:eastAsia="仿宋_GB2312" w:cs="仿宋_GB2312"/>
          <w:sz w:val="32"/>
          <w:szCs w:val="32"/>
        </w:rPr>
        <w:t>县政府网站</w:t>
      </w:r>
      <w:r>
        <w:rPr>
          <w:rFonts w:ascii="仿宋_GB2312" w:eastAsia="仿宋_GB2312" w:cs="仿宋_GB2312" w:hint="eastAsia"/>
          <w:sz w:val="32"/>
          <w:szCs w:val="32"/>
        </w:rPr>
        <w:t>，依法及时公开执法主体、人员、职责、权限、依据、程序、随机抽查事项清单及结果、“双随机、一公开”检查结果等信息。</w:t>
      </w:r>
      <w:r>
        <w:rPr>
          <w:rFonts w:ascii="仿宋" w:eastAsia="仿宋" w:hint="eastAsia"/>
          <w:b w:val="0"/>
          <w:bCs w:val="0"/>
          <w:i w:val="0"/>
          <w:iCs w:val="0"/>
          <w:caps w:val="0"/>
          <w:smallCaps w:val="0"/>
          <w:vanish w:val="0"/>
          <w:spacing w:val="0"/>
          <w:sz w:val="32"/>
          <w:szCs w:val="32"/>
          <w:shd w:val="clear" w:color="auto" w:fill="FFFFFF"/>
        </w:rPr>
        <w:t>严格贯彻落实《中华人民共和国政府信息公开条例》的相关规定，做好依申请公开，推进“双随机、一公开”监管。</w:t>
      </w:r>
      <w:r>
        <w:rPr>
          <w:rFonts w:ascii="仿宋" w:eastAsia="仿宋"/>
          <w:b w:val="0"/>
          <w:bCs w:val="0"/>
          <w:i w:val="0"/>
          <w:iCs w:val="0"/>
          <w:caps w:val="0"/>
          <w:smallCaps w:val="0"/>
          <w:vanish w:val="0"/>
          <w:spacing w:val="0"/>
          <w:sz w:val="32"/>
          <w:szCs w:val="32"/>
        </w:rPr>
        <w:t>截至目前，今</w:t>
      </w:r>
      <w:r>
        <w:rPr>
          <w:rFonts w:ascii="仿宋" w:eastAsia="仿宋" w:hint="eastAsia"/>
          <w:b w:val="0"/>
          <w:bCs w:val="0"/>
          <w:i w:val="0"/>
          <w:iCs w:val="0"/>
          <w:caps w:val="0"/>
          <w:smallCaps w:val="0"/>
          <w:vanish w:val="0"/>
          <w:spacing w:val="0"/>
          <w:sz w:val="32"/>
          <w:szCs w:val="32"/>
        </w:rPr>
        <w:t>年</w:t>
      </w:r>
      <w:r>
        <w:rPr>
          <w:rFonts w:ascii="仿宋" w:eastAsia="仿宋"/>
          <w:b w:val="0"/>
          <w:bCs w:val="0"/>
          <w:i w:val="0"/>
          <w:iCs w:val="0"/>
          <w:caps w:val="0"/>
          <w:smallCaps w:val="0"/>
          <w:vanish w:val="0"/>
          <w:spacing w:val="0"/>
          <w:sz w:val="32"/>
          <w:szCs w:val="32"/>
        </w:rPr>
        <w:t>共</w:t>
      </w:r>
      <w:r>
        <w:rPr>
          <w:rFonts w:ascii="仿宋" w:eastAsia="仿宋" w:hint="eastAsia"/>
          <w:b w:val="0"/>
          <w:bCs w:val="0"/>
          <w:i w:val="0"/>
          <w:iCs w:val="0"/>
          <w:caps w:val="0"/>
          <w:smallCaps w:val="0"/>
          <w:vanish w:val="0"/>
          <w:spacing w:val="0"/>
          <w:sz w:val="32"/>
          <w:szCs w:val="32"/>
        </w:rPr>
        <w:t>受理依申请公开事项</w:t>
      </w:r>
      <w:r>
        <w:rPr>
          <w:rFonts w:ascii="仿宋" w:eastAsia="仿宋"/>
          <w:b w:val="0"/>
          <w:bCs w:val="0"/>
          <w:i w:val="0"/>
          <w:iCs w:val="0"/>
          <w:caps w:val="0"/>
          <w:smallCaps w:val="0"/>
          <w:vanish w:val="0"/>
          <w:spacing w:val="0"/>
          <w:sz w:val="32"/>
          <w:szCs w:val="32"/>
        </w:rPr>
        <w:t>14</w:t>
      </w:r>
      <w:r>
        <w:rPr>
          <w:rFonts w:ascii="仿宋" w:eastAsia="仿宋" w:hint="eastAsia"/>
          <w:b w:val="0"/>
          <w:bCs w:val="0"/>
          <w:i w:val="0"/>
          <w:iCs w:val="0"/>
          <w:caps w:val="0"/>
          <w:smallCaps w:val="0"/>
          <w:vanish w:val="0"/>
          <w:spacing w:val="0"/>
          <w:sz w:val="32"/>
          <w:szCs w:val="32"/>
        </w:rPr>
        <w:t>件，均依法及时进行答复。</w:t>
      </w:r>
    </w:p>
    <w:p>
      <w:pPr>
        <w:spacing w:line="640" w:lineRule="exact"/>
        <w:ind w:left="0"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2、我局目前持有执法证人员28名，其中14名在执法协调股，其余14名同志分别在不同的执法股室。执法人员信息均在县政府网站进行公示，接受各级监督。</w:t>
      </w:r>
    </w:p>
    <w:p>
      <w:pPr>
        <w:spacing w:line="64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3、</w:t>
      </w:r>
      <w:r>
        <w:rPr>
          <w:rFonts w:ascii="仿宋_GB2312" w:eastAsia="仿宋_GB2312" w:cs="仿宋_GB2312" w:hint="eastAsia"/>
          <w:sz w:val="32"/>
          <w:szCs w:val="32"/>
        </w:rPr>
        <w:t>明确重大执法决定范围，对涉及重大公共利益、可能造成重大社会影响或引发社会风险的案件（如重大违法用地、重大矿产违法案件处罚等），未经法制审核或审核未通过，不得作出决定。</w:t>
      </w:r>
    </w:p>
    <w:p>
      <w:pPr>
        <w:spacing w:line="64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4、</w:t>
      </w:r>
      <w:r>
        <w:rPr>
          <w:rFonts w:ascii="仿宋_GB2312" w:eastAsia="仿宋_GB2312" w:cs="仿宋_GB2312" w:hint="eastAsia"/>
          <w:sz w:val="32"/>
          <w:szCs w:val="32"/>
        </w:rPr>
        <w:t>常态化开展执法人员法治培训和业务轮训，重点学习新颁布法律法规、执法实务和廉政纪律。严格落实行政执法人员持证上岗和资格管理制度。</w:t>
      </w:r>
      <w:r>
        <w:rPr>
          <w:rFonts w:ascii="仿宋_GB2312" w:eastAsia="仿宋_GB2312" w:cs="仿宋_GB2312"/>
          <w:sz w:val="32"/>
          <w:szCs w:val="32"/>
        </w:rPr>
        <w:t>截至目前，我局开展法制培训和业务学习4次，专题警示教育2次。</w:t>
      </w:r>
    </w:p>
    <w:p>
      <w:pPr>
        <w:spacing w:line="640" w:lineRule="exact"/>
        <w:ind w:left="0" w:firstLineChars="200" w:firstLine="640"/>
        <w:rPr>
          <w:rFonts w:ascii="国标黑体" w:eastAsia="国标黑体" w:cs="国标黑体" w:hint="eastAsia"/>
          <w:sz w:val="32"/>
          <w:szCs w:val="32"/>
        </w:rPr>
      </w:pPr>
      <w:r>
        <w:rPr>
          <w:rFonts w:ascii="国标黑体" w:eastAsia="国标黑体" w:cs="国标黑体" w:hint="eastAsia"/>
          <w:sz w:val="32"/>
          <w:szCs w:val="32"/>
        </w:rPr>
        <w:t>三</w:t>
      </w:r>
      <w:r>
        <w:rPr>
          <w:rFonts w:ascii="国标黑体" w:eastAsia="国标黑体" w:cs="国标黑体"/>
          <w:sz w:val="32"/>
          <w:szCs w:val="32"/>
        </w:rPr>
        <w:t>、</w:t>
      </w:r>
      <w:r>
        <w:rPr>
          <w:rFonts w:ascii="国标黑体" w:eastAsia="国标黑体" w:cs="国标黑体" w:hint="eastAsia"/>
          <w:sz w:val="32"/>
          <w:szCs w:val="32"/>
        </w:rPr>
        <w:t>深化“放管服”改革，优化法治化营商环境</w:t>
      </w:r>
    </w:p>
    <w:p>
      <w:pPr>
        <w:pStyle w:val="18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640" w:lineRule="exact"/>
        <w:ind w:left="0" w:firstLine="48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1、</w:t>
      </w:r>
      <w:r>
        <w:rPr>
          <w:rFonts w:ascii="仿宋_GB2312" w:eastAsia="仿宋_GB2312" w:cs="仿宋_GB2312" w:hint="eastAsia"/>
          <w:sz w:val="32"/>
          <w:szCs w:val="32"/>
        </w:rPr>
        <w:t>持续精简行政审批事项，优化审批流程，压缩办理时限。深入推进规划用地“多审合一、多证合一”、不动产登记“一窗受理、并行办理”等改革措施，提升审批效率和服务便利度。</w:t>
      </w:r>
      <w:r>
        <w:rPr>
          <w:rFonts w:ascii="仿宋_GB2312" w:eastAsia="仿宋_GB2312" w:cs="仿宋_GB2312"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 w:val="32"/>
          <w:szCs w:val="32"/>
          <w:vertAlign w:val="baseline"/>
        </w:rPr>
        <w:t>办理建设用地规划许可证的，出让土地受理后5日</w:t>
      </w:r>
      <w:r>
        <w:rPr>
          <w:rFonts w:ascii="仿宋_GB2312" w:eastAsia="仿宋_GB2312" w:cs="仿宋_GB2312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 w:val="32"/>
          <w:szCs w:val="32"/>
          <w:vertAlign w:val="baseline"/>
        </w:rPr>
        <w:t>内</w:t>
      </w:r>
      <w:r>
        <w:rPr>
          <w:rFonts w:ascii="仿宋_GB2312" w:eastAsia="仿宋_GB2312" w:cs="仿宋_GB2312"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 w:val="32"/>
          <w:szCs w:val="32"/>
          <w:vertAlign w:val="baseline"/>
        </w:rPr>
        <w:t>发证</w:t>
      </w:r>
      <w:r>
        <w:rPr>
          <w:rFonts w:ascii="仿宋_GB2312" w:eastAsia="仿宋_GB2312" w:cs="仿宋_GB2312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 w:val="32"/>
          <w:szCs w:val="32"/>
          <w:vertAlign w:val="baseline"/>
        </w:rPr>
        <w:t>，</w:t>
      </w:r>
      <w:r>
        <w:rPr>
          <w:rFonts w:ascii="仿宋_GB2312" w:eastAsia="仿宋_GB2312" w:cs="仿宋_GB2312"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 w:val="32"/>
          <w:szCs w:val="32"/>
          <w:vertAlign w:val="baseline"/>
        </w:rPr>
        <w:t>划拨土地</w:t>
      </w:r>
      <w:r>
        <w:rPr>
          <w:rFonts w:ascii="仿宋_GB2312" w:eastAsia="仿宋_GB2312" w:cs="仿宋_GB2312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 w:val="32"/>
          <w:szCs w:val="32"/>
          <w:vertAlign w:val="baseline"/>
        </w:rPr>
        <w:t>与划拨决定书同步核发，</w:t>
      </w:r>
      <w:r>
        <w:rPr>
          <w:rFonts w:ascii="仿宋_GB2312" w:eastAsia="仿宋_GB2312" w:cs="仿宋_GB2312"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 w:val="32"/>
          <w:szCs w:val="32"/>
          <w:vertAlign w:val="baseline"/>
        </w:rPr>
        <w:t>建设工程规划许可证受理后</w:t>
      </w:r>
      <w:r>
        <w:rPr>
          <w:rFonts w:ascii="仿宋_GB2312" w:eastAsia="仿宋_GB2312" w:cs="仿宋_GB2312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 w:val="32"/>
          <w:szCs w:val="32"/>
          <w:vertAlign w:val="baseline"/>
        </w:rPr>
        <w:t>10</w:t>
      </w:r>
      <w:r>
        <w:rPr>
          <w:rFonts w:ascii="仿宋_GB2312" w:eastAsia="仿宋_GB2312" w:cs="仿宋_GB2312"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 w:val="32"/>
          <w:szCs w:val="32"/>
          <w:vertAlign w:val="baseline"/>
        </w:rPr>
        <w:t>日内</w:t>
      </w:r>
      <w:r>
        <w:rPr>
          <w:rFonts w:ascii="仿宋_GB2312" w:eastAsia="仿宋_GB2312" w:cs="仿宋_GB2312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 w:val="32"/>
          <w:szCs w:val="32"/>
          <w:vertAlign w:val="baseline"/>
        </w:rPr>
        <w:t>发证</w:t>
      </w:r>
      <w:r>
        <w:rPr>
          <w:rFonts w:ascii="仿宋_GB2312" w:eastAsia="仿宋_GB2312" w:cs="仿宋_GB2312" w:hint="eastAsia"/>
          <w:b w:val="0"/>
          <w:bCs w:val="0"/>
          <w:i w:val="0"/>
          <w:iCs w:val="0"/>
          <w:caps w:val="0"/>
          <w:smallCaps w:val="0"/>
          <w:vanish w:val="0"/>
          <w:color w:val="000000"/>
          <w:spacing w:val="0"/>
          <w:sz w:val="32"/>
          <w:szCs w:val="32"/>
          <w:vertAlign w:val="baseline"/>
        </w:rPr>
        <w:t>。</w:t>
      </w:r>
    </w:p>
    <w:p>
      <w:pPr>
        <w:spacing w:line="64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2、</w:t>
      </w:r>
      <w:r>
        <w:rPr>
          <w:rFonts w:ascii="仿宋" w:eastAsia="仿宋" w:hint="eastAsia"/>
          <w:b w:val="0"/>
          <w:bCs w:val="0"/>
          <w:i w:val="0"/>
          <w:iCs w:val="0"/>
          <w:caps w:val="0"/>
          <w:smallCaps w:val="0"/>
          <w:vanish w:val="0"/>
          <w:spacing w:val="0"/>
          <w:sz w:val="32"/>
          <w:szCs w:val="32"/>
        </w:rPr>
        <w:t>建立随机抽查事项清单，明确抽查项目、抽查主体、抽查依据、抽查内容、检查人员等。按照“谁审批、谁监管，谁主管、谁监管”原则，严格落实本部门行业监管责任，规范执法流程，全面提升执法效能。</w:t>
      </w:r>
      <w:r>
        <w:rPr>
          <w:rFonts w:ascii="仿宋" w:eastAsia="仿宋"/>
          <w:b w:val="0"/>
          <w:bCs w:val="0"/>
          <w:i w:val="0"/>
          <w:iCs w:val="0"/>
          <w:caps w:val="0"/>
          <w:smallCaps w:val="0"/>
          <w:vanish w:val="0"/>
          <w:spacing w:val="0"/>
          <w:sz w:val="32"/>
          <w:szCs w:val="32"/>
        </w:rPr>
        <w:t>今年我局</w:t>
      </w:r>
      <w:r>
        <w:rPr>
          <w:rFonts w:ascii="仿宋_GB2312" w:eastAsia="仿宋_GB2312" w:cs="仿宋_GB2312" w:hAnsi="方正仿宋_GBK" w:hint="eastAsia"/>
          <w:sz w:val="32"/>
          <w:szCs w:val="32"/>
        </w:rPr>
        <w:t>继续与市场监管局协作，实现“进一次门，查多项事”，避免重复检查，努力减轻企业负担。</w:t>
      </w:r>
      <w:r>
        <w:rPr>
          <w:rFonts w:ascii="仿宋_GB2312" w:eastAsia="仿宋_GB2312" w:cs="仿宋_GB2312" w:hint="eastAsia"/>
          <w:sz w:val="32"/>
          <w:szCs w:val="32"/>
        </w:rPr>
        <w:t>2025年7月份</w:t>
      </w:r>
      <w:r>
        <w:rPr>
          <w:rFonts w:ascii="仿宋_GB2312" w:eastAsia="仿宋_GB2312" w:cs="仿宋_GB2312"/>
          <w:sz w:val="32"/>
          <w:szCs w:val="32"/>
        </w:rPr>
        <w:t>我局</w:t>
      </w:r>
      <w:r>
        <w:rPr>
          <w:rFonts w:ascii="仿宋_GB2312" w:eastAsia="仿宋_GB2312" w:cs="仿宋_GB2312" w:hint="eastAsia"/>
          <w:sz w:val="32"/>
          <w:szCs w:val="32"/>
        </w:rPr>
        <w:t>“双随机、一公开”工作与市场监管局</w:t>
      </w:r>
      <w:r>
        <w:rPr>
          <w:rFonts w:ascii="仿宋_GB2312" w:eastAsia="仿宋_GB2312" w:cs="仿宋_GB2312"/>
          <w:sz w:val="32"/>
          <w:szCs w:val="32"/>
        </w:rPr>
        <w:t>合作开展，共计检查企业5家。</w:t>
      </w:r>
    </w:p>
    <w:p>
      <w:pPr>
        <w:spacing w:line="640" w:lineRule="exact"/>
        <w:ind w:left="0" w:firstLineChars="200" w:firstLine="640"/>
        <w:rPr>
          <w:rFonts w:ascii="国标黑体" w:eastAsia="国标黑体" w:cs="国标黑体" w:hint="eastAsia"/>
          <w:sz w:val="32"/>
          <w:szCs w:val="32"/>
        </w:rPr>
      </w:pPr>
      <w:r>
        <w:rPr>
          <w:rFonts w:ascii="国标黑体" w:eastAsia="国标黑体" w:cs="国标黑体" w:hint="eastAsia"/>
          <w:sz w:val="32"/>
          <w:szCs w:val="32"/>
        </w:rPr>
        <w:t>四、化解矛盾纠纷，维护群众权益</w:t>
      </w:r>
    </w:p>
    <w:p>
      <w:pPr>
        <w:spacing w:line="64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1、</w:t>
      </w:r>
      <w:r>
        <w:rPr>
          <w:rFonts w:ascii="仿宋_GB2312" w:eastAsia="仿宋_GB2312" w:cs="仿宋_GB2312" w:hint="eastAsia"/>
          <w:sz w:val="32"/>
          <w:szCs w:val="32"/>
        </w:rPr>
        <w:t>依法高效办理行政复议案件，自觉履行行政复议决定和人民法院生效裁判。</w:t>
      </w:r>
      <w:r>
        <w:rPr>
          <w:rFonts w:ascii="仿宋_GB2312" w:eastAsia="仿宋_GB2312" w:cs="仿宋_GB2312"/>
          <w:sz w:val="32"/>
          <w:szCs w:val="32"/>
        </w:rPr>
        <w:t>截至目前，我局共参加出庭应诉26次，均落实</w:t>
      </w:r>
      <w:r>
        <w:rPr>
          <w:rFonts w:ascii="仿宋_GB2312" w:eastAsia="仿宋_GB2312" w:cs="仿宋_GB2312" w:hint="eastAsia"/>
          <w:sz w:val="32"/>
          <w:szCs w:val="32"/>
        </w:rPr>
        <w:t>行政机关负责人出庭应诉制度，</w:t>
      </w:r>
      <w:r>
        <w:rPr>
          <w:rFonts w:ascii="仿宋_GB2312" w:eastAsia="仿宋_GB2312" w:cs="仿宋_GB2312"/>
          <w:sz w:val="32"/>
          <w:szCs w:val="32"/>
        </w:rPr>
        <w:t>提升了出庭效率。</w:t>
      </w:r>
    </w:p>
    <w:p>
      <w:pPr>
        <w:spacing w:line="640" w:lineRule="exact"/>
        <w:ind w:firstLineChars="200" w:firstLine="640"/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2、</w:t>
      </w:r>
      <w:r>
        <w:rPr>
          <w:rFonts w:ascii="仿宋_GB2312" w:eastAsia="仿宋_GB2312" w:cs="仿宋_GB2312" w:hint="eastAsia"/>
          <w:sz w:val="32"/>
          <w:szCs w:val="32"/>
        </w:rPr>
        <w:t>完善“12345”政务服务便民热线、信访接待等渠道，建立健全统一受理、分类处理、及时反馈工</w:t>
      </w:r>
      <w:r>
        <w:rPr>
          <w:rFonts w:ascii="仿宋_GB2312" w:eastAsia="仿宋_GB2312" w:cs="仿宋_GB2312"/>
          <w:sz w:val="32"/>
          <w:szCs w:val="32"/>
        </w:rPr>
        <w:t>单600余条，均及时反馈并和当事人联系。</w:t>
      </w:r>
    </w:p>
    <w:p>
      <w:pPr>
        <w:spacing w:line="640" w:lineRule="exact"/>
        <w:ind w:left="0" w:firstLineChars="200" w:firstLine="632"/>
        <w:rPr>
          <w:rFonts w:ascii="国标黑体" w:eastAsia="国标黑体" w:cs="国标黑体" w:hint="eastAsia"/>
          <w:spacing w:val="-2"/>
          <w:sz w:val="32"/>
          <w:szCs w:val="32"/>
        </w:rPr>
      </w:pPr>
      <w:r>
        <w:rPr>
          <w:rFonts w:ascii="国标黑体" w:eastAsia="国标黑体" w:cs="国标黑体"/>
          <w:spacing w:val="-2"/>
          <w:sz w:val="32"/>
          <w:szCs w:val="32"/>
        </w:rPr>
        <w:t>五</w:t>
      </w:r>
      <w:r>
        <w:rPr>
          <w:rFonts w:ascii="国标黑体" w:eastAsia="国标黑体" w:cs="国标黑体" w:hint="eastAsia"/>
          <w:spacing w:val="-2"/>
          <w:sz w:val="32"/>
          <w:szCs w:val="32"/>
        </w:rPr>
        <w:t>、创新法治实践，探索智慧赋能“法治路径”</w:t>
      </w:r>
      <w:r>
        <w:rPr>
          <w:rFonts w:ascii="国标黑体" w:eastAsia="国标黑体" w:cs="国标黑体"/>
          <w:spacing w:val="-2"/>
          <w:sz w:val="32"/>
          <w:szCs w:val="32"/>
        </w:rPr>
        <w:t>。</w:t>
      </w:r>
      <w:r>
        <w:rPr>
          <w:rFonts w:ascii="国标黑体" w:eastAsia="国标黑体" w:cs="国标黑体" w:hint="eastAsia"/>
          <w:spacing w:val="-2"/>
          <w:sz w:val="32"/>
          <w:szCs w:val="32"/>
        </w:rPr>
        <w:t xml:space="preserve"> </w:t>
      </w:r>
    </w:p>
    <w:p>
      <w:pPr>
        <w:spacing w:line="640" w:lineRule="exact"/>
        <w:ind w:left="0" w:firstLineChars="200" w:firstLine="632"/>
        <w:rPr>
          <w:rFonts w:ascii="仿宋_GB2312" w:eastAsia="仿宋_GB2312" w:cs="仿宋_GB2312"/>
          <w:spacing w:val="-2"/>
          <w:sz w:val="32"/>
          <w:szCs w:val="32"/>
        </w:rPr>
      </w:pPr>
      <w:r>
        <w:rPr>
          <w:rFonts w:ascii="仿宋_GB2312" w:eastAsia="仿宋_GB2312" w:cs="仿宋_GB2312" w:hint="eastAsia"/>
          <w:spacing w:val="-2"/>
          <w:sz w:val="32"/>
          <w:szCs w:val="32"/>
        </w:rPr>
        <w:t>落实“谁执法谁普法”责任制。结合“4.22”世界地球日、“6.25”全国土地日等节点，开展</w:t>
      </w:r>
      <w:r>
        <w:rPr>
          <w:rFonts w:ascii="仿宋_GB2312" w:eastAsia="仿宋_GB2312" w:cs="仿宋_GB2312"/>
          <w:spacing w:val="-2"/>
          <w:sz w:val="32"/>
          <w:szCs w:val="32"/>
        </w:rPr>
        <w:t>普法下乡</w:t>
      </w:r>
      <w:r>
        <w:rPr>
          <w:rFonts w:ascii="仿宋_GB2312" w:eastAsia="仿宋_GB2312" w:cs="仿宋_GB2312" w:hint="eastAsia"/>
          <w:spacing w:val="-2"/>
          <w:sz w:val="32"/>
          <w:szCs w:val="32"/>
        </w:rPr>
        <w:t>活动</w:t>
      </w:r>
      <w:r>
        <w:rPr>
          <w:rFonts w:ascii="仿宋_GB2312" w:eastAsia="仿宋_GB2312" w:cs="仿宋_GB2312"/>
          <w:spacing w:val="-2"/>
          <w:sz w:val="32"/>
          <w:szCs w:val="32"/>
        </w:rPr>
        <w:t>3</w:t>
      </w:r>
      <w:r>
        <w:rPr>
          <w:rFonts w:ascii="仿宋_GB2312" w:eastAsia="仿宋_GB2312" w:cs="仿宋_GB2312" w:hint="eastAsia"/>
          <w:spacing w:val="-2"/>
          <w:sz w:val="32"/>
          <w:szCs w:val="32"/>
        </w:rPr>
        <w:t>次</w:t>
      </w:r>
      <w:r>
        <w:rPr>
          <w:rFonts w:ascii="仿宋_GB2312" w:eastAsia="仿宋_GB2312" w:cs="仿宋_GB2312"/>
          <w:spacing w:val="-2"/>
          <w:sz w:val="32"/>
          <w:szCs w:val="32"/>
        </w:rPr>
        <w:t>，</w:t>
      </w:r>
      <w:r>
        <w:rPr>
          <w:rFonts w:ascii="国标仿宋" w:eastAsia="国标仿宋" w:cs="国标仿宋" w:hAnsi="国标仿宋" w:hint="eastAsia"/>
          <w:sz w:val="32"/>
          <w:szCs w:val="32"/>
        </w:rPr>
        <w:t>发放资料</w:t>
      </w:r>
      <w:r>
        <w:rPr>
          <w:rFonts w:ascii="国标仿宋" w:eastAsia="国标仿宋" w:cs="国标仿宋" w:hAnsi="国标仿宋"/>
          <w:sz w:val="32"/>
          <w:szCs w:val="32"/>
        </w:rPr>
        <w:t>400余</w:t>
      </w:r>
      <w:r>
        <w:rPr>
          <w:rFonts w:ascii="国标仿宋" w:eastAsia="国标仿宋" w:cs="国标仿宋" w:hAnsi="国标仿宋" w:hint="eastAsia"/>
          <w:sz w:val="32"/>
          <w:szCs w:val="32"/>
        </w:rPr>
        <w:t>份，解答群众咨询</w:t>
      </w:r>
      <w:r>
        <w:rPr>
          <w:rFonts w:ascii="国标仿宋" w:eastAsia="国标仿宋" w:cs="国标仿宋" w:hAnsi="国标仿宋"/>
          <w:sz w:val="32"/>
          <w:szCs w:val="32"/>
        </w:rPr>
        <w:t>70余</w:t>
      </w:r>
      <w:r>
        <w:rPr>
          <w:rFonts w:ascii="国标仿宋" w:eastAsia="国标仿宋" w:cs="国标仿宋" w:hAnsi="国标仿宋" w:hint="eastAsia"/>
          <w:sz w:val="32"/>
          <w:szCs w:val="32"/>
        </w:rPr>
        <w:t>人次</w:t>
      </w:r>
      <w:r>
        <w:rPr>
          <w:rFonts w:ascii="国标仿宋" w:eastAsia="国标仿宋" w:cs="国标仿宋" w:hAnsi="国标仿宋"/>
          <w:sz w:val="32"/>
          <w:szCs w:val="32"/>
        </w:rPr>
        <w:t>，</w:t>
      </w:r>
      <w:r>
        <w:rPr>
          <w:rFonts w:ascii="仿宋_GB2312" w:eastAsia="仿宋_GB2312" w:cs="仿宋_GB2312" w:hint="eastAsia"/>
          <w:spacing w:val="-2"/>
          <w:sz w:val="32"/>
          <w:szCs w:val="32"/>
        </w:rPr>
        <w:t>普法宣传的覆盖面和吸引力显著增强。</w:t>
      </w:r>
    </w:p>
    <w:p>
      <w:pPr>
        <w:spacing w:line="640" w:lineRule="exact"/>
        <w:ind w:left="0" w:firstLineChars="200" w:firstLine="632"/>
        <w:rPr>
          <w:rFonts w:ascii="国标黑体" w:eastAsia="国标黑体" w:cs="国标黑体" w:hint="eastAsia"/>
          <w:spacing w:val="-2"/>
          <w:sz w:val="32"/>
          <w:szCs w:val="32"/>
        </w:rPr>
      </w:pPr>
      <w:r>
        <w:rPr>
          <w:rFonts w:ascii="国标黑体" w:eastAsia="国标黑体" w:cs="国标黑体"/>
          <w:spacing w:val="-2"/>
          <w:sz w:val="32"/>
          <w:szCs w:val="32"/>
        </w:rPr>
        <w:t>六、下步工作计划</w:t>
      </w:r>
    </w:p>
    <w:p>
      <w:pPr>
        <w:spacing w:line="640" w:lineRule="exact"/>
        <w:ind w:firstLineChars="200" w:firstLine="632"/>
        <w:rPr>
          <w:rFonts w:ascii="仿宋_GB2312" w:eastAsia="仿宋_GB2312" w:cs="仿宋_GB2312" w:hint="eastAsia"/>
          <w:spacing w:val="-2"/>
          <w:sz w:val="32"/>
          <w:szCs w:val="32"/>
        </w:rPr>
      </w:pPr>
      <w:r>
        <w:rPr>
          <w:rFonts w:ascii="仿宋_GB2312" w:eastAsia="仿宋_GB2312" w:cs="仿宋_GB2312"/>
          <w:spacing w:val="-2"/>
          <w:sz w:val="32"/>
          <w:szCs w:val="32"/>
        </w:rPr>
        <w:t>1、</w:t>
      </w:r>
      <w:r>
        <w:rPr>
          <w:rFonts w:ascii="仿宋_GB2312" w:eastAsia="仿宋_GB2312" w:cs="仿宋_GB2312" w:hint="eastAsia"/>
          <w:spacing w:val="-2"/>
          <w:sz w:val="32"/>
          <w:szCs w:val="32"/>
        </w:rPr>
        <w:t>强化执法人员专业化培训，特别是新领域、新业态监管能力的培养。探索非现场监管、移动执法等新模式应用。</w:t>
      </w:r>
    </w:p>
    <w:p>
      <w:pPr>
        <w:spacing w:line="640" w:lineRule="exact"/>
        <w:ind w:firstLineChars="200" w:firstLine="632"/>
        <w:rPr>
          <w:rFonts w:ascii="仿宋_GB2312" w:eastAsia="仿宋_GB2312" w:cs="仿宋_GB2312" w:hint="eastAsia"/>
          <w:spacing w:val="-2"/>
          <w:sz w:val="32"/>
          <w:szCs w:val="32"/>
        </w:rPr>
      </w:pPr>
      <w:r>
        <w:rPr>
          <w:rFonts w:ascii="仿宋_GB2312" w:eastAsia="仿宋_GB2312" w:cs="仿宋_GB2312"/>
          <w:spacing w:val="-2"/>
          <w:sz w:val="32"/>
          <w:szCs w:val="32"/>
        </w:rPr>
        <w:t>2、</w:t>
      </w:r>
      <w:r>
        <w:rPr>
          <w:rFonts w:ascii="仿宋_GB2312" w:eastAsia="仿宋_GB2312" w:cs="仿宋_GB2312" w:hint="eastAsia"/>
          <w:spacing w:val="-2"/>
          <w:sz w:val="32"/>
          <w:szCs w:val="32"/>
        </w:rPr>
        <w:t>持续营造尊法学法守法用法的浓厚氛围，使法治成为全局干部职工的思维习惯和行动自觉，不断提升运用法治思维和法治方式深化改革、推动发展、化解矛盾、维护稳定的能力。</w:t>
      </w:r>
    </w:p>
    <w:p>
      <w:pPr>
        <w:spacing w:line="640" w:lineRule="exact"/>
        <w:ind w:firstLineChars="200" w:firstLine="632"/>
        <w:rPr>
          <w:rFonts w:ascii="仿宋_GB2312" w:eastAsia="仿宋_GB2312" w:cs="仿宋_GB2312"/>
          <w:spacing w:val="-2"/>
          <w:sz w:val="32"/>
          <w:szCs w:val="32"/>
        </w:rPr>
      </w:pPr>
      <w:r>
        <w:rPr>
          <w:rFonts w:ascii="仿宋_GB2312" w:eastAsia="仿宋_GB2312" w:cs="仿宋_GB2312" w:hint="eastAsia"/>
          <w:spacing w:val="-2"/>
          <w:sz w:val="32"/>
          <w:szCs w:val="32"/>
        </w:rPr>
        <w:t>我局将持之以恒推进自然资源规划领域法治建设，为</w:t>
      </w:r>
      <w:r>
        <w:rPr>
          <w:rFonts w:ascii="仿宋_GB2312" w:eastAsia="仿宋_GB2312" w:cs="仿宋_GB2312"/>
          <w:spacing w:val="-2"/>
          <w:sz w:val="32"/>
          <w:szCs w:val="32"/>
        </w:rPr>
        <w:t>我县</w:t>
      </w:r>
      <w:r>
        <w:rPr>
          <w:rFonts w:ascii="仿宋_GB2312" w:eastAsia="仿宋_GB2312" w:cs="仿宋_GB2312" w:hint="eastAsia"/>
          <w:spacing w:val="-2"/>
          <w:sz w:val="32"/>
          <w:szCs w:val="32"/>
        </w:rPr>
        <w:t>经济社会高质量发展提供更加坚强有力的法治保障和资源要素支撑。</w:t>
      </w:r>
    </w:p>
    <w:p>
      <w:pPr>
        <w:spacing w:line="640" w:lineRule="exact"/>
        <w:ind w:firstLineChars="200" w:firstLine="632"/>
        <w:jc w:val="right"/>
        <w:rPr>
          <w:rFonts w:ascii="仿宋_GB2312" w:eastAsia="仿宋_GB2312" w:cs="仿宋_GB2312"/>
          <w:spacing w:val="-2"/>
          <w:sz w:val="32"/>
          <w:szCs w:val="32"/>
        </w:rPr>
      </w:pPr>
      <w:r>
        <w:rPr>
          <w:rFonts w:ascii="仿宋_GB2312" w:eastAsia="仿宋_GB2312" w:cs="仿宋_GB2312"/>
          <w:spacing w:val="-2"/>
          <w:sz w:val="32"/>
          <w:szCs w:val="32"/>
        </w:rPr>
        <w:t>平山县自然资源和规划局</w:t>
      </w:r>
    </w:p>
    <w:p>
      <w:pPr>
        <w:spacing w:line="640" w:lineRule="exact"/>
        <w:ind w:firstLineChars="200" w:firstLine="632"/>
        <w:jc w:val="right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pacing w:val="-2"/>
          <w:sz w:val="32"/>
          <w:szCs w:val="32"/>
        </w:rPr>
        <w:t>2026年1月7日</w:t>
      </w:r>
    </w:p>
    <w:sectPr>
      <w:footerReference w:type="default" r:id="rId2"/>
      <w:footerReference w:type="even" r:id="rId3"/>
      <w:footerReference w:type="first" r:id="rId4"/>
      <w:pgSz w:w="11907" w:h="16839"/>
      <w:pgMar w:top="2098" w:right="1474" w:bottom="1985" w:left="1588" w:header="851" w:footer="992" w:gutter="0"/>
      <w:pgNumType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国标宋体">
    <w:panose1 w:val="02000500000000000000"/>
    <w:charset w:val="86"/>
    <w:family w:val="script"/>
    <w:pitch w:val="variable"/>
    <w:sig w:usb0="00000001" w:usb1="28000000" w:usb2="00000000" w:usb3="00000000" w:csb0="00060007" w:csb1="00000000"/>
  </w:font>
  <w:font w:name="方正小标宋简体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国标黑体">
    <w:panose1 w:val="02000500000000000000"/>
    <w:charset w:val="86"/>
    <w:family w:val="script"/>
    <w:pitch w:val="variable"/>
    <w:sig w:usb0="00000001" w:usb1="08000000" w:usb2="00000000" w:usb3="00000000" w:csb0="00040000" w:csb1="00000000"/>
  </w:font>
  <w:font w:name="仿宋">
    <w:altName w:val="仿宋_GB2312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仿宋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国标仿宋">
    <w:panose1 w:val="02000500000000000000"/>
    <w:charset w:val="86"/>
    <w:family w:val="script"/>
    <w:pitch w:val="variable"/>
    <w:sig w:usb0="A00002BF" w:usb1="38C77CFA" w:usb2="00000016" w:usb3="00000000" w:csb0="00060007" w:csb1="00000000"/>
  </w:font>
  <w:font w:name="Times New Roman">
    <w:altName w:val="DejaVu Sans"/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altName w:val="方正书宋_GBK"/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Lucida Sans">
    <w:altName w:val="DejaVu Sans"/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黑体">
    <w:altName w:val="方正黑体_GBK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文泉驿微米黑">
    <w:panose1 w:val="020B0606030804020204"/>
    <w:charset w:val="86"/>
    <w:family w:val="auto"/>
    <w:pitch w:val="variable"/>
    <w:sig w:usb0="E10002EF" w:usb1="6BDFFCFB" w:usb2="00800036" w:usb3="00000000" w:csb0="603E019F" w:csb1="DFD7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  <w:rPr>
        <w:rFonts w:ascii="国标宋体" w:eastAsia="国标宋体" w:cs="国标宋体" w:hAnsi="国标宋体" w:hint="eastAsia"/>
        <w:sz w:val="24"/>
        <w:szCs w:val="24"/>
      </w:rPr>
    </w:pPr>
    <w:r>
      <w:rPr>
        <w:rStyle w:val="17"/>
        <w:rFonts w:ascii="国标宋体" w:eastAsia="国标宋体" w:cs="国标宋体" w:hAnsi="国标宋体" w:hint="eastAsia"/>
        <w:sz w:val="24"/>
        <w:szCs w:val="24"/>
      </w:rPr>
      <w:fldChar w:fldCharType="begin"/>
    </w:r>
    <w:r>
      <w:rPr>
        <w:rStyle w:val="17"/>
        <w:rFonts w:ascii="国标宋体" w:eastAsia="国标宋体" w:cs="国标宋体" w:hAnsi="国标宋体" w:hint="eastAsia"/>
        <w:sz w:val="24"/>
        <w:szCs w:val="24"/>
      </w:rPr>
      <w:instrText>Page</w:instrText>
    </w:r>
    <w:r>
      <w:rPr>
        <w:rStyle w:val="17"/>
        <w:rFonts w:ascii="国标宋体" w:eastAsia="国标宋体" w:cs="国标宋体" w:hAnsi="国标宋体" w:hint="eastAsia"/>
        <w:sz w:val="24"/>
        <w:szCs w:val="24"/>
      </w:rPr>
      <w:fldChar w:fldCharType="separate"/>
    </w:r>
    <w:r>
      <w:rPr>
        <w:rStyle w:val="17"/>
        <w:rFonts w:ascii="国标宋体" w:eastAsia="国标宋体" w:cs="国标宋体" w:hAnsi="国标宋体" w:hint="eastAsia"/>
        <w:sz w:val="24"/>
        <w:szCs w:val="24"/>
      </w:rPr>
      <w:t>1</w:t>
    </w:r>
    <w:r>
      <w:rPr>
        <w:rStyle w:val="17"/>
        <w:rFonts w:ascii="国标宋体" w:eastAsia="国标宋体" w:cs="国标宋体" w:hAnsi="国标宋体" w:hint="eastAsia"/>
        <w:sz w:val="24"/>
        <w:szCs w:val="24"/>
      </w:rPr>
      <w:fldChar w:fldCharType="end"/>
    </w:r>
  </w:p>
  <w:p>
    <w:pPr>
      <w:pStyle w:val="16"/>
      <w:tabs>
        <w:tab w:val="center" w:pos="4153"/>
        <w:tab w:val="right" w:pos="8307"/>
      </w:tabs>
    </w:pP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6"/>
      <w:tabs>
        <w:tab w:val="center" w:pos="4153"/>
        <w:tab w:val="right" w:pos="8307"/>
      </w:tabs>
    </w:pP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</w:pPr>
    <w:r>
      <w:rPr>
        <w:rStyle w:val="17"/>
      </w:rPr>
      <w:fldChar w:fldCharType="begin"/>
    </w:r>
    <w:r>
      <w:rPr>
        <w:rStyle w:val="17"/>
      </w:rPr>
      <w:instrText>Page</w:instrText>
    </w:r>
    <w:r>
      <w:rPr>
        <w:rStyle w:val="17"/>
      </w:rPr>
      <w:fldChar w:fldCharType="separate"/>
    </w:r>
    <w:r>
      <w:rPr>
        <w:rStyle w:val="17"/>
      </w:rPr>
      <w:t>1</w:t>
    </w:r>
    <w:r>
      <w:rPr>
        <w:rStyle w:val="17"/>
      </w:rPr>
      <w:fldChar w:fldCharType="end"/>
    </w:r>
  </w:p>
  <w:p>
    <w:pPr>
      <w:pStyle w:val="16"/>
      <w:tabs>
        <w:tab w:val="center" w:pos="4153"/>
        <w:tab w:val="right" w:pos="8307"/>
      </w:tabs>
    </w:pP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240" w:lineRule="auto"/>
      <w:jc w:val="both"/>
    </w:pPr>
    <w:rPr>
      <w:rFonts w:ascii="Times New Roman" w:eastAsia="宋体" w:cs="Lucida Sans" w:hAnsi="Times New Roman"/>
      <w:kern w:val="2"/>
      <w:sz w:val="21"/>
      <w:szCs w:val="21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header"/>
    <w:basedOn w:val="0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paragraph" w:styleId="16">
    <w:name w:val="footer"/>
    <w:basedOn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character" w:styleId="17">
    <w:name w:val="page number"/>
    <w:basedOn w:val="10"/>
  </w:style>
  <w:style w:type="paragraph" w:styleId="18">
    <w:name w:val="Normal (Web)"/>
    <w:basedOn w:val="0"/>
    <w:next w:val="15"/>
    <w:pPr>
      <w:keepNext w:val="0"/>
      <w:keepLines w:val="0"/>
      <w:pageBreakBefore w:val="0"/>
      <w:widowControl/>
      <w:suppressLineNumbers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100" w:beforeAutospacing="1" w:after="100" w:afterAutospacing="1" w:line="240" w:lineRule="auto"/>
      <w:ind w:left="0" w:right="0" w:firstLine="0"/>
      <w:contextualSpacing w:val="0"/>
      <w:jc w:val="left"/>
      <w:textAlignment w:val="auto"/>
      <w:outlineLvl w:val="9"/>
    </w:pPr>
    <w:rPr>
      <w:rFonts w:ascii="宋体" w:eastAsia="宋体" w:hAnsi="文泉驿微米黑"/>
      <w:b w:val="0"/>
      <w:i w:val="0"/>
      <w:caps w:val="0"/>
      <w:smallCaps w:val="0"/>
      <w:strike w:val="0"/>
      <w:dstrike w:val="0"/>
      <w:snapToGrid/>
      <w:vanish w:val="0"/>
      <w:color w:val="auto"/>
      <w:spacing w:val="0"/>
      <w:w w:val="100"/>
      <w:kern w:val="0"/>
      <w:position w:val="0"/>
      <w:sz w:val="24"/>
      <w:szCs w:val="21"/>
      <w:u w:val="none" w:color="auto"/>
      <w:vertAlign w:val="baseline"/>
      <w:em w:val="none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fontTable" Target="fontTable.xml"/><Relationship Id="rId7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D3C84C76-A8B2-43F8-ABEC-A3B3F240A970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1199</TotalTime>
  <Application>Yozo_Office27021597764231179</Application>
  <Pages>4</Pages>
  <Words>0</Words>
  <Characters>1195</Characters>
  <Lines>0</Lines>
  <Paragraphs>27</Paragraphs>
  <CharactersWithSpaces>1594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huawei</dc:creator>
  <cp:lastModifiedBy>huawei</cp:lastModifiedBy>
  <cp:revision>1</cp:revision>
  <cp:lastPrinted>2026-01-09T02:47:03Z</cp:lastPrinted>
  <dcterms:created xsi:type="dcterms:W3CDTF">2025-06-20T08:20:46Z</dcterms:created>
  <dcterms:modified xsi:type="dcterms:W3CDTF">2026-01-09T06:25:39Z</dcterms:modified>
</cp:coreProperties>
</file>