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bidi w:val="0"/>
        <w:rPr>
          <w:rFonts w:hint="eastAsia" w:ascii="宋体" w:hAnsi="宋体" w:eastAsia="宋体" w:cs="宋体"/>
        </w:rPr>
      </w:pPr>
    </w:p>
    <w:p>
      <w:pPr>
        <w:pStyle w:val="2"/>
        <w:bidi w:val="0"/>
        <w:jc w:val="center"/>
        <w:rPr>
          <w:rFonts w:hint="eastAsia" w:ascii="方正小标宋_GBK" w:hAnsi="方正小标宋_GBK" w:eastAsia="方正小标宋_GBK" w:cs="方正小标宋_GBK"/>
          <w:b w:val="0"/>
          <w:bCs/>
          <w:lang w:val="en-US" w:eastAsia="zh-CN"/>
        </w:rPr>
      </w:pPr>
      <w:r>
        <w:rPr>
          <w:rFonts w:hint="eastAsia" w:ascii="方正小标宋_GBK" w:hAnsi="方正小标宋_GBK" w:eastAsia="方正小标宋_GBK" w:cs="方正小标宋_GBK"/>
          <w:b w:val="0"/>
          <w:bCs/>
          <w:lang w:val="en-US" w:eastAsia="zh-CN"/>
        </w:rPr>
        <w:t>合河口乡人民政府</w:t>
      </w:r>
    </w:p>
    <w:p>
      <w:pPr>
        <w:pStyle w:val="2"/>
        <w:bidi w:val="0"/>
        <w:jc w:val="center"/>
        <w:rPr>
          <w:rFonts w:hint="eastAsia" w:ascii="方正小标宋_GBK" w:hAnsi="方正小标宋_GBK" w:eastAsia="方正小标宋_GBK" w:cs="方正小标宋_GBK"/>
          <w:b w:val="0"/>
          <w:bCs/>
          <w:lang w:val="en-US" w:eastAsia="zh-CN"/>
        </w:rPr>
      </w:pPr>
      <w:r>
        <w:rPr>
          <w:rFonts w:hint="eastAsia" w:ascii="方正小标宋_GBK" w:hAnsi="方正小标宋_GBK" w:eastAsia="方正小标宋_GBK" w:cs="方正小标宋_GBK"/>
          <w:b w:val="0"/>
          <w:bCs/>
          <w:lang w:val="en-US" w:eastAsia="zh-CN"/>
        </w:rPr>
        <w:t>关于</w:t>
      </w:r>
      <w:r>
        <w:rPr>
          <w:rFonts w:hint="eastAsia" w:ascii="方正小标宋_GBK" w:hAnsi="方正小标宋_GBK" w:eastAsia="方正小标宋_GBK" w:cs="方正小标宋_GBK"/>
          <w:b w:val="0"/>
          <w:bCs/>
          <w:lang w:eastAsia="zh-CN"/>
        </w:rPr>
        <w:t>202</w:t>
      </w:r>
      <w:r>
        <w:rPr>
          <w:rFonts w:hint="eastAsia" w:ascii="方正小标宋_GBK" w:hAnsi="方正小标宋_GBK" w:eastAsia="方正小标宋_GBK" w:cs="方正小标宋_GBK"/>
          <w:b w:val="0"/>
          <w:bCs/>
          <w:lang w:val="en-US" w:eastAsia="zh-CN"/>
        </w:rPr>
        <w:t>5</w:t>
      </w:r>
      <w:r>
        <w:rPr>
          <w:rFonts w:hint="eastAsia" w:ascii="方正小标宋_GBK" w:hAnsi="方正小标宋_GBK" w:eastAsia="方正小标宋_GBK" w:cs="方正小标宋_GBK"/>
          <w:b w:val="0"/>
          <w:bCs/>
        </w:rPr>
        <w:t>年政府信息公开工作</w:t>
      </w:r>
      <w:r>
        <w:rPr>
          <w:rFonts w:hint="eastAsia" w:ascii="方正小标宋_GBK" w:hAnsi="方正小标宋_GBK" w:eastAsia="方正小标宋_GBK" w:cs="方正小标宋_GBK"/>
          <w:b w:val="0"/>
          <w:bCs/>
          <w:lang w:val="en-US" w:eastAsia="zh-CN"/>
        </w:rPr>
        <w:t>开展情况的</w:t>
      </w:r>
    </w:p>
    <w:p>
      <w:pPr>
        <w:pStyle w:val="2"/>
        <w:bidi w:val="0"/>
        <w:jc w:val="center"/>
        <w:rPr>
          <w:rFonts w:hint="eastAsia"/>
          <w:lang w:val="en-US" w:eastAsia="zh-CN"/>
        </w:rPr>
      </w:pPr>
      <w:r>
        <w:rPr>
          <w:rFonts w:hint="eastAsia" w:ascii="方正小标宋_GBK" w:hAnsi="方正小标宋_GBK" w:eastAsia="方正小标宋_GBK" w:cs="方正小标宋_GBK"/>
          <w:b w:val="0"/>
          <w:bCs/>
        </w:rPr>
        <w:t>报</w:t>
      </w:r>
      <w:r>
        <w:rPr>
          <w:rFonts w:hint="eastAsia" w:ascii="方正小标宋_GBK" w:hAnsi="方正小标宋_GBK" w:eastAsia="方正小标宋_GBK" w:cs="方正小标宋_GBK"/>
          <w:b w:val="0"/>
          <w:bCs/>
          <w:lang w:val="en-US" w:eastAsia="zh-CN"/>
        </w:rPr>
        <w:t xml:space="preserve">    </w:t>
      </w:r>
      <w:r>
        <w:rPr>
          <w:rFonts w:hint="eastAsia" w:ascii="方正小标宋_GBK" w:hAnsi="方正小标宋_GBK" w:eastAsia="方正小标宋_GBK" w:cs="方正小标宋_GBK"/>
          <w:b w:val="0"/>
          <w:bCs/>
        </w:rPr>
        <w:t>告</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b w:val="0"/>
          <w:i w:val="0"/>
          <w:caps w:val="0"/>
          <w:color w:val="212121"/>
          <w:spacing w:val="0"/>
          <w:kern w:val="0"/>
          <w:sz w:val="32"/>
          <w:szCs w:val="32"/>
          <w:shd w:val="clear" w:fill="FFFFFF"/>
          <w:lang w:val="en-US" w:eastAsia="zh-CN" w:bidi="ar"/>
        </w:rPr>
      </w:pP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2025年以来，合河口乡人民政府坚持以习近平新时代中国特色社会主义思想为引领，紧紧围绕县委、县政府2025年经济社会发展等各项安排部署，以构建阳光政府和服务型政府为目标，深入贯彻落实《中华人民共和国政府信息公开条例》（简称《条例》）等文件精神，进一步强化组织领导，持续完善工作机制，通过突出工作重点、深化公开内容、完善公开渠道等措施，在信息公开工作方面取得了较好的成效。现将我乡2025年度政府信息公开工作情况汇报如下：</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一、总体情况</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本报告中所列数据的统计期限为2054年1月1日起至2025年12月31日止。本年度报告通过县人民政府门户网站和平山县合河口乡人民政府等渠道全文公开。如对本年度报告有任何疑问，请与平山县合河口乡人民政府政府信息公开办公室联系（地址：合河口乡合河口村行政路1号；邮编：050405；电话：0311-82498011，电子邮箱：hhkxzf@163.com。</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楷体" w:hAnsi="楷体" w:eastAsia="楷体" w:cs="楷体"/>
          <w:b w:val="0"/>
          <w:i w:val="0"/>
          <w:caps w:val="0"/>
          <w:color w:val="212121"/>
          <w:spacing w:val="0"/>
          <w:kern w:val="0"/>
          <w:sz w:val="32"/>
          <w:szCs w:val="32"/>
          <w:shd w:val="clear" w:fill="FFFFFF"/>
          <w:lang w:val="en-US" w:eastAsia="zh-CN" w:bidi="ar"/>
        </w:rPr>
        <w:t>（一）政府信息公开工作机构和人员设置情况。</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合河口乡设有政务服务中心管理办公室，由办公室主任兼任负责人，设专人负责政务服务中心的政务公开和政府信息公开工作及其他日常工作。按照《合河口乡2025年政务公开和政府信息公开工作计划》，及时将信息进行汇总梳理、充实完善，在坚持公开透明同时，深刻把握信息的准确性和时效性，确保政府信息公开工作正常运行。</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楷体" w:hAnsi="楷体" w:eastAsia="楷体" w:cs="楷体"/>
          <w:b w:val="0"/>
          <w:i w:val="0"/>
          <w:caps w:val="0"/>
          <w:color w:val="212121"/>
          <w:spacing w:val="0"/>
          <w:kern w:val="0"/>
          <w:sz w:val="32"/>
          <w:szCs w:val="32"/>
          <w:shd w:val="clear" w:fill="FFFFFF"/>
          <w:lang w:val="en-US" w:eastAsia="zh-CN" w:bidi="ar"/>
        </w:rPr>
        <w:t>（二）建立健全政府信息公开工作制度情况。</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为切实做好政务公开、政府信息公开工作，合河口乡组织全乡干部认真学习《政府信息公开条例》以及相关文件精神，提高对政务公开、政府信息公开重要意义的认识。截止2025年12月31日，我乡未发生政府信息公开的收费及减免等情况。未发生针对本单位有关政府信息公开方面的行政复议、行</w:t>
      </w:r>
      <w:bookmarkStart w:id="0" w:name="_GoBack"/>
      <w:bookmarkEnd w:id="0"/>
      <w:r>
        <w:rPr>
          <w:rFonts w:hint="eastAsia" w:ascii="仿宋" w:hAnsi="仿宋" w:eastAsia="仿宋" w:cs="仿宋"/>
          <w:b w:val="0"/>
          <w:i w:val="0"/>
          <w:caps w:val="0"/>
          <w:color w:val="212121"/>
          <w:spacing w:val="0"/>
          <w:kern w:val="0"/>
          <w:sz w:val="32"/>
          <w:szCs w:val="32"/>
          <w:shd w:val="clear" w:fill="FFFFFF"/>
          <w:lang w:val="en-US" w:eastAsia="zh-CN" w:bidi="ar"/>
        </w:rPr>
        <w:t>政诉讼。</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楷体" w:hAnsi="楷体" w:eastAsia="楷体" w:cs="楷体"/>
          <w:b w:val="0"/>
          <w:i w:val="0"/>
          <w:caps w:val="0"/>
          <w:color w:val="212121"/>
          <w:spacing w:val="0"/>
          <w:kern w:val="0"/>
          <w:sz w:val="32"/>
          <w:szCs w:val="32"/>
          <w:shd w:val="clear" w:fill="FFFFFF"/>
          <w:lang w:val="en-US" w:eastAsia="zh-CN" w:bidi="ar"/>
        </w:rPr>
        <w:t>（三）政府信息公开目录、公开指南的编制和更新情况。</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2025年，我乡根据工作实际，全面梳理、更新、完善全县政府信息公开目录，修订并公开了政府信息公开指南、政府信息公开目录，进一步明确了主动公开政府信息的范围、形式、时限，依法申请公开政府信息的受理机构、受理程序，监督方式及程序等信息。</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楷体" w:hAnsi="楷体" w:eastAsia="楷体" w:cs="楷体"/>
          <w:b w:val="0"/>
          <w:i w:val="0"/>
          <w:caps w:val="0"/>
          <w:color w:val="212121"/>
          <w:spacing w:val="0"/>
          <w:kern w:val="0"/>
          <w:sz w:val="32"/>
          <w:szCs w:val="32"/>
          <w:shd w:val="clear" w:fill="FFFFFF"/>
          <w:lang w:val="en-US" w:eastAsia="zh-CN" w:bidi="ar"/>
        </w:rPr>
        <w:t>（四）政府信息公开载体的建设、运行情况</w:t>
      </w:r>
      <w:r>
        <w:rPr>
          <w:rFonts w:hint="eastAsia" w:ascii="仿宋" w:hAnsi="仿宋" w:eastAsia="仿宋" w:cs="仿宋"/>
          <w:b w:val="0"/>
          <w:i w:val="0"/>
          <w:caps w:val="0"/>
          <w:color w:val="212121"/>
          <w:spacing w:val="0"/>
          <w:kern w:val="0"/>
          <w:sz w:val="32"/>
          <w:szCs w:val="32"/>
          <w:shd w:val="clear" w:fill="FFFFFF"/>
          <w:lang w:val="en-US" w:eastAsia="zh-CN" w:bidi="ar"/>
        </w:rPr>
        <w:t>。</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合河口乡党委政府高度重视政务中心建设工作，将之纳入议事日程，并安排专人负责相关工作。</w:t>
      </w:r>
      <w:r>
        <w:rPr>
          <w:rFonts w:hint="eastAsia" w:ascii="仿宋" w:hAnsi="仿宋" w:eastAsia="仿宋" w:cs="仿宋"/>
          <w:b/>
          <w:bCs/>
          <w:i w:val="0"/>
          <w:caps w:val="0"/>
          <w:color w:val="212121"/>
          <w:spacing w:val="0"/>
          <w:kern w:val="0"/>
          <w:sz w:val="32"/>
          <w:szCs w:val="32"/>
          <w:shd w:val="clear" w:fill="FFFFFF"/>
          <w:lang w:val="en-US" w:eastAsia="zh-CN" w:bidi="ar"/>
        </w:rPr>
        <w:t>一是</w:t>
      </w:r>
      <w:r>
        <w:rPr>
          <w:rFonts w:hint="eastAsia" w:ascii="仿宋" w:hAnsi="仿宋" w:eastAsia="仿宋" w:cs="仿宋"/>
          <w:b w:val="0"/>
          <w:i w:val="0"/>
          <w:caps w:val="0"/>
          <w:color w:val="212121"/>
          <w:spacing w:val="0"/>
          <w:kern w:val="0"/>
          <w:sz w:val="32"/>
          <w:szCs w:val="32"/>
          <w:shd w:val="clear" w:fill="FFFFFF"/>
          <w:lang w:val="en-US" w:eastAsia="zh-CN" w:bidi="ar"/>
        </w:rPr>
        <w:t>研究制定了《合河口乡2025年政务公开和政府信息公开工作计划》。</w:t>
      </w:r>
      <w:r>
        <w:rPr>
          <w:rFonts w:hint="eastAsia" w:ascii="仿宋" w:hAnsi="仿宋" w:eastAsia="仿宋" w:cs="仿宋"/>
          <w:b/>
          <w:bCs/>
          <w:i w:val="0"/>
          <w:caps w:val="0"/>
          <w:color w:val="212121"/>
          <w:spacing w:val="0"/>
          <w:kern w:val="0"/>
          <w:sz w:val="32"/>
          <w:szCs w:val="32"/>
          <w:shd w:val="clear" w:fill="FFFFFF"/>
          <w:lang w:val="en-US" w:eastAsia="zh-CN" w:bidi="ar"/>
        </w:rPr>
        <w:t>二是</w:t>
      </w:r>
      <w:r>
        <w:rPr>
          <w:rFonts w:hint="eastAsia" w:ascii="仿宋" w:hAnsi="仿宋" w:eastAsia="仿宋" w:cs="仿宋"/>
          <w:b w:val="0"/>
          <w:i w:val="0"/>
          <w:caps w:val="0"/>
          <w:color w:val="212121"/>
          <w:spacing w:val="0"/>
          <w:kern w:val="0"/>
          <w:sz w:val="32"/>
          <w:szCs w:val="32"/>
          <w:shd w:val="clear" w:fill="FFFFFF"/>
          <w:lang w:val="en-US" w:eastAsia="zh-CN" w:bidi="ar"/>
        </w:rPr>
        <w:t>定期召开政务服务工作会议，调度各乡直单位、各行政村的政府信息公开平台录入情况。</w:t>
      </w:r>
      <w:r>
        <w:rPr>
          <w:rFonts w:hint="eastAsia" w:ascii="仿宋" w:hAnsi="仿宋" w:eastAsia="仿宋" w:cs="仿宋"/>
          <w:b/>
          <w:bCs/>
          <w:i w:val="0"/>
          <w:caps w:val="0"/>
          <w:color w:val="212121"/>
          <w:spacing w:val="0"/>
          <w:kern w:val="0"/>
          <w:sz w:val="32"/>
          <w:szCs w:val="32"/>
          <w:shd w:val="clear" w:fill="FFFFFF"/>
          <w:lang w:val="en-US" w:eastAsia="zh-CN" w:bidi="ar"/>
        </w:rPr>
        <w:t>三是</w:t>
      </w:r>
      <w:r>
        <w:rPr>
          <w:rFonts w:hint="eastAsia" w:ascii="仿宋" w:hAnsi="仿宋" w:eastAsia="仿宋" w:cs="仿宋"/>
          <w:b w:val="0"/>
          <w:i w:val="0"/>
          <w:caps w:val="0"/>
          <w:color w:val="212121"/>
          <w:spacing w:val="0"/>
          <w:kern w:val="0"/>
          <w:sz w:val="32"/>
          <w:szCs w:val="32"/>
          <w:shd w:val="clear" w:fill="FFFFFF"/>
          <w:lang w:val="en-US" w:eastAsia="zh-CN" w:bidi="ar"/>
        </w:rPr>
        <w:t>规范使用政府信息公开统一平台，并按照政府信息公开送交规定，及时送交主动公开的政府信息纸质文件，确保了政府信息公开查阅点政府信息及时更新，方便群众查阅。</w:t>
      </w:r>
    </w:p>
    <w:p>
      <w:pPr>
        <w:keepNext w:val="0"/>
        <w:keepLines w:val="0"/>
        <w:pageBreakBefore w:val="0"/>
        <w:numPr>
          <w:ilvl w:val="0"/>
          <w:numId w:val="0"/>
        </w:numPr>
        <w:kinsoku/>
        <w:overflowPunct/>
        <w:topLinePunct w:val="0"/>
        <w:autoSpaceDE/>
        <w:autoSpaceDN/>
        <w:bidi w:val="0"/>
        <w:adjustRightInd/>
        <w:snapToGrid/>
        <w:spacing w:line="600" w:lineRule="exact"/>
        <w:ind w:firstLine="640" w:firstLineChars="200"/>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二、主动公开政府信息情况</w:t>
      </w:r>
    </w:p>
    <w:tbl>
      <w:tblPr>
        <w:tblStyle w:val="8"/>
        <w:tblW w:w="8742"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2130"/>
        <w:gridCol w:w="885"/>
        <w:gridCol w:w="165"/>
        <w:gridCol w:w="1740"/>
        <w:gridCol w:w="1791"/>
        <w:gridCol w:w="203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742" w:type="dxa"/>
            <w:gridSpan w:val="6"/>
            <w:tcBorders>
              <w:top w:val="single" w:color="auto" w:sz="6" w:space="0"/>
              <w:left w:val="single" w:color="auto" w:sz="6" w:space="0"/>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r>
              <w:rPr>
                <w:rFonts w:hint="eastAsia" w:ascii="宋体" w:hAnsi="宋体" w:eastAsia="宋体" w:cs="宋体"/>
                <w:b/>
                <w:bCs/>
                <w:sz w:val="21"/>
                <w:szCs w:val="21"/>
                <w:lang w:val="en-US" w:eastAsia="zh-CN"/>
              </w:rPr>
              <w:t>第二十条第（一）项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信息内容</w:t>
            </w:r>
          </w:p>
        </w:tc>
        <w:tc>
          <w:tcPr>
            <w:tcW w:w="1905" w:type="dxa"/>
            <w:gridSpan w:val="2"/>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本年制发件数</w:t>
            </w:r>
          </w:p>
        </w:tc>
        <w:tc>
          <w:tcPr>
            <w:tcW w:w="1791" w:type="dxa"/>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本年废止件数</w:t>
            </w:r>
          </w:p>
        </w:tc>
        <w:tc>
          <w:tcPr>
            <w:tcW w:w="2031" w:type="dxa"/>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现行有效件数</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规章</w:t>
            </w:r>
          </w:p>
        </w:tc>
        <w:tc>
          <w:tcPr>
            <w:tcW w:w="1905" w:type="dxa"/>
            <w:gridSpan w:val="2"/>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1791" w:type="dxa"/>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2031" w:type="dxa"/>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规范性文件</w:t>
            </w:r>
          </w:p>
        </w:tc>
        <w:tc>
          <w:tcPr>
            <w:tcW w:w="1905" w:type="dxa"/>
            <w:gridSpan w:val="2"/>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1791" w:type="dxa"/>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2031" w:type="dxa"/>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742" w:type="dxa"/>
            <w:gridSpan w:val="6"/>
            <w:tcBorders>
              <w:top w:val="nil"/>
              <w:left w:val="single" w:color="auto" w:sz="6" w:space="0"/>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r>
              <w:rPr>
                <w:rFonts w:hint="eastAsia" w:ascii="宋体" w:hAnsi="宋体" w:eastAsia="宋体" w:cs="宋体"/>
                <w:b/>
                <w:bCs/>
                <w:sz w:val="21"/>
                <w:szCs w:val="21"/>
                <w:lang w:val="en-US" w:eastAsia="zh-CN"/>
              </w:rPr>
              <w:t>第二十条第（五）项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 w:hRule="atLeast"/>
        </w:trPr>
        <w:tc>
          <w:tcPr>
            <w:tcW w:w="3180" w:type="dxa"/>
            <w:gridSpan w:val="3"/>
            <w:tcBorders>
              <w:top w:val="nil"/>
              <w:left w:val="single" w:color="auto" w:sz="6" w:space="0"/>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信息内容</w:t>
            </w:r>
          </w:p>
        </w:tc>
        <w:tc>
          <w:tcPr>
            <w:tcW w:w="5562" w:type="dxa"/>
            <w:gridSpan w:val="3"/>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本年处理决定数量</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17" w:hRule="atLeast"/>
        </w:trPr>
        <w:tc>
          <w:tcPr>
            <w:tcW w:w="3180" w:type="dxa"/>
            <w:gridSpan w:val="3"/>
            <w:tcBorders>
              <w:top w:val="nil"/>
              <w:left w:val="single" w:color="auto" w:sz="6" w:space="0"/>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color w:val="auto"/>
                <w:sz w:val="20"/>
                <w:szCs w:val="20"/>
                <w:lang w:val="en-US" w:eastAsia="zh-CN"/>
              </w:rPr>
            </w:pPr>
            <w:r>
              <w:rPr>
                <w:rFonts w:hint="eastAsia" w:ascii="宋体" w:hAnsi="宋体" w:eastAsia="宋体" w:cs="宋体"/>
                <w:b/>
                <w:bCs/>
                <w:color w:val="auto"/>
                <w:sz w:val="20"/>
                <w:szCs w:val="20"/>
                <w:lang w:val="en-US" w:eastAsia="zh-CN"/>
              </w:rPr>
              <w:t>行政许可</w:t>
            </w:r>
          </w:p>
        </w:tc>
        <w:tc>
          <w:tcPr>
            <w:tcW w:w="5562" w:type="dxa"/>
            <w:gridSpan w:val="3"/>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default" w:ascii="宋体" w:hAnsi="宋体" w:eastAsia="宋体" w:cs="宋体"/>
                <w:color w:val="auto"/>
                <w:sz w:val="20"/>
                <w:szCs w:val="20"/>
                <w:lang w:val="en-US" w:eastAsia="zh-CN"/>
              </w:rPr>
            </w:pPr>
            <w:r>
              <w:rPr>
                <w:rFonts w:hint="eastAsia" w:ascii="宋体" w:hAnsi="宋体" w:cs="宋体"/>
                <w:color w:val="auto"/>
                <w:sz w:val="20"/>
                <w:szCs w:val="20"/>
                <w:lang w:val="en-US" w:eastAsia="zh-CN"/>
              </w:rPr>
              <w:t>75</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742" w:type="dxa"/>
            <w:gridSpan w:val="6"/>
            <w:tcBorders>
              <w:top w:val="nil"/>
              <w:left w:val="single" w:color="auto" w:sz="6" w:space="0"/>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r>
              <w:rPr>
                <w:rFonts w:hint="eastAsia" w:ascii="宋体" w:hAnsi="宋体" w:eastAsia="宋体" w:cs="宋体"/>
                <w:b/>
                <w:bCs/>
                <w:sz w:val="21"/>
                <w:szCs w:val="21"/>
                <w:lang w:val="en-US" w:eastAsia="zh-CN"/>
              </w:rPr>
              <w:t>第二十条第（六）项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信息内容</w:t>
            </w:r>
          </w:p>
        </w:tc>
        <w:tc>
          <w:tcPr>
            <w:tcW w:w="6612" w:type="dxa"/>
            <w:gridSpan w:val="5"/>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r>
              <w:rPr>
                <w:rFonts w:hint="eastAsia" w:ascii="宋体" w:hAnsi="宋体" w:eastAsia="宋体" w:cs="宋体"/>
                <w:b/>
                <w:bCs/>
                <w:sz w:val="20"/>
                <w:szCs w:val="20"/>
                <w:lang w:val="en-US" w:eastAsia="zh-CN"/>
              </w:rPr>
              <w:t>本年处理决定数量</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color w:val="auto"/>
                <w:sz w:val="20"/>
                <w:szCs w:val="20"/>
                <w:lang w:val="en-US" w:eastAsia="zh-CN"/>
              </w:rPr>
            </w:pPr>
            <w:r>
              <w:rPr>
                <w:rFonts w:hint="eastAsia" w:ascii="宋体" w:hAnsi="宋体" w:eastAsia="宋体" w:cs="宋体"/>
                <w:b/>
                <w:bCs/>
                <w:color w:val="auto"/>
                <w:sz w:val="20"/>
                <w:szCs w:val="20"/>
                <w:lang w:val="en-US" w:eastAsia="zh-CN"/>
              </w:rPr>
              <w:t>行政处罚</w:t>
            </w:r>
          </w:p>
        </w:tc>
        <w:tc>
          <w:tcPr>
            <w:tcW w:w="6612" w:type="dxa"/>
            <w:gridSpan w:val="5"/>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default" w:ascii="宋体" w:hAnsi="宋体" w:eastAsia="宋体" w:cs="宋体"/>
                <w:color w:val="auto"/>
                <w:sz w:val="20"/>
                <w:szCs w:val="20"/>
                <w:lang w:val="en-US" w:eastAsia="zh-CN"/>
              </w:rPr>
            </w:pPr>
            <w:r>
              <w:rPr>
                <w:rFonts w:hint="eastAsia" w:ascii="宋体" w:hAnsi="宋体" w:cs="宋体"/>
                <w:color w:val="auto"/>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行政强制</w:t>
            </w:r>
          </w:p>
        </w:tc>
        <w:tc>
          <w:tcPr>
            <w:tcW w:w="6612" w:type="dxa"/>
            <w:gridSpan w:val="5"/>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742" w:type="dxa"/>
            <w:gridSpan w:val="6"/>
            <w:tcBorders>
              <w:top w:val="nil"/>
              <w:left w:val="single" w:color="auto" w:sz="6" w:space="0"/>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r>
              <w:rPr>
                <w:rFonts w:hint="eastAsia" w:ascii="宋体" w:hAnsi="宋体" w:eastAsia="宋体" w:cs="宋体"/>
                <w:b/>
                <w:bCs/>
                <w:sz w:val="21"/>
                <w:szCs w:val="21"/>
                <w:lang w:val="en-US" w:eastAsia="zh-CN"/>
              </w:rPr>
              <w:t>第二十条第（八）项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信息内容</w:t>
            </w:r>
          </w:p>
        </w:tc>
        <w:tc>
          <w:tcPr>
            <w:tcW w:w="6612" w:type="dxa"/>
            <w:gridSpan w:val="5"/>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本年收费金额（单位：万元）</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color w:val="auto"/>
                <w:sz w:val="20"/>
                <w:szCs w:val="20"/>
                <w:lang w:val="en-US" w:eastAsia="zh-CN"/>
              </w:rPr>
            </w:pPr>
            <w:r>
              <w:rPr>
                <w:rFonts w:hint="eastAsia" w:ascii="宋体" w:hAnsi="宋体" w:eastAsia="宋体" w:cs="宋体"/>
                <w:b/>
                <w:bCs/>
                <w:color w:val="auto"/>
                <w:sz w:val="20"/>
                <w:szCs w:val="20"/>
                <w:lang w:val="en-US" w:eastAsia="zh-CN"/>
              </w:rPr>
              <w:t>行政事业性收费</w:t>
            </w:r>
          </w:p>
        </w:tc>
        <w:tc>
          <w:tcPr>
            <w:tcW w:w="6612" w:type="dxa"/>
            <w:gridSpan w:val="5"/>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color w:val="auto"/>
                <w:sz w:val="20"/>
                <w:szCs w:val="20"/>
                <w:lang w:val="en-US" w:eastAsia="zh-CN"/>
              </w:rPr>
            </w:pPr>
            <w:r>
              <w:rPr>
                <w:rFonts w:hint="eastAsia" w:ascii="宋体" w:hAnsi="宋体" w:eastAsia="宋体" w:cs="宋体"/>
                <w:color w:val="auto"/>
                <w:sz w:val="20"/>
                <w:szCs w:val="20"/>
                <w:lang w:val="en-US" w:eastAsia="zh-CN"/>
              </w:rPr>
              <w:t>0</w:t>
            </w:r>
          </w:p>
        </w:tc>
      </w:tr>
    </w:tbl>
    <w:p>
      <w:pPr>
        <w:keepNext w:val="0"/>
        <w:keepLines w:val="0"/>
        <w:pageBreakBefore w:val="0"/>
        <w:numPr>
          <w:ilvl w:val="0"/>
          <w:numId w:val="0"/>
        </w:numPr>
        <w:kinsoku/>
        <w:overflowPunct/>
        <w:topLinePunct w:val="0"/>
        <w:autoSpaceDE/>
        <w:autoSpaceDN/>
        <w:bidi w:val="0"/>
        <w:adjustRightInd/>
        <w:snapToGrid/>
        <w:spacing w:line="600" w:lineRule="exact"/>
        <w:ind w:firstLine="320" w:firstLineChars="100"/>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三、收到和处理政府信息公开申请情况</w:t>
      </w:r>
    </w:p>
    <w:tbl>
      <w:tblPr>
        <w:tblStyle w:val="8"/>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Layout w:type="fixed"/>
        <w:tblCellMar>
          <w:top w:w="15" w:type="dxa"/>
          <w:left w:w="15" w:type="dxa"/>
          <w:bottom w:w="15" w:type="dxa"/>
          <w:right w:w="15" w:type="dxa"/>
        </w:tblCellMar>
      </w:tblPr>
      <w:tblGrid>
        <w:gridCol w:w="716"/>
        <w:gridCol w:w="880"/>
        <w:gridCol w:w="2507"/>
        <w:gridCol w:w="785"/>
        <w:gridCol w:w="703"/>
        <w:gridCol w:w="703"/>
        <w:gridCol w:w="900"/>
        <w:gridCol w:w="900"/>
        <w:gridCol w:w="434"/>
        <w:gridCol w:w="54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vMerge w:val="restart"/>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w:t>
            </w:r>
            <w:r>
              <w:rPr>
                <w:rFonts w:hint="eastAsia" w:ascii="楷体" w:hAnsi="楷体" w:eastAsia="楷体" w:cs="楷体"/>
                <w:sz w:val="20"/>
                <w:szCs w:val="20"/>
                <w:lang w:val="en-US" w:eastAsia="zh-CN"/>
              </w:rPr>
              <w:t>本列数据的勾稽关系为：第一项加第二项之和，等于第三项加第四项之和）</w:t>
            </w:r>
          </w:p>
        </w:tc>
        <w:tc>
          <w:tcPr>
            <w:tcW w:w="4968" w:type="dxa"/>
            <w:gridSpan w:val="7"/>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r>
              <w:rPr>
                <w:rFonts w:hint="eastAsia" w:ascii="宋体" w:hAnsi="宋体" w:eastAsia="宋体" w:cs="宋体"/>
                <w:b/>
                <w:bCs/>
                <w:sz w:val="21"/>
                <w:szCs w:val="21"/>
                <w:lang w:val="en-US" w:eastAsia="zh-CN"/>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785" w:type="dxa"/>
            <w:vMerge w:val="restart"/>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自然人</w:t>
            </w:r>
          </w:p>
        </w:tc>
        <w:tc>
          <w:tcPr>
            <w:tcW w:w="3640" w:type="dxa"/>
            <w:gridSpan w:val="5"/>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法人或其他组织</w:t>
            </w:r>
          </w:p>
        </w:tc>
        <w:tc>
          <w:tcPr>
            <w:tcW w:w="543" w:type="dxa"/>
            <w:vMerge w:val="restart"/>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r>
              <w:rPr>
                <w:rFonts w:hint="eastAsia" w:ascii="宋体" w:hAnsi="宋体" w:eastAsia="宋体" w:cs="宋体"/>
                <w:b/>
                <w:bCs/>
                <w:sz w:val="20"/>
                <w:szCs w:val="20"/>
                <w:lang w:val="en-US" w:eastAsia="zh-CN"/>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785"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商业企业</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科研机构</w:t>
            </w:r>
          </w:p>
        </w:tc>
        <w:tc>
          <w:tcPr>
            <w:tcW w:w="900" w:type="dxa"/>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社会公益组织</w:t>
            </w:r>
          </w:p>
        </w:tc>
        <w:tc>
          <w:tcPr>
            <w:tcW w:w="900" w:type="dxa"/>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法律服务机构</w:t>
            </w:r>
          </w:p>
        </w:tc>
        <w:tc>
          <w:tcPr>
            <w:tcW w:w="434" w:type="dxa"/>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其他</w:t>
            </w:r>
          </w:p>
        </w:tc>
        <w:tc>
          <w:tcPr>
            <w:tcW w:w="543" w:type="dxa"/>
            <w:vMerge w:val="continue"/>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一、本年新收政府信息公开申请数量</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二、上年结转政府信息公开申请数量</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restart"/>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三、</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r>
              <w:rPr>
                <w:rFonts w:hint="eastAsia" w:ascii="宋体" w:hAnsi="宋体" w:eastAsia="宋体" w:cs="宋体"/>
                <w:b/>
                <w:bCs/>
                <w:sz w:val="20"/>
                <w:szCs w:val="20"/>
                <w:lang w:val="en-US" w:eastAsia="zh-CN"/>
              </w:rPr>
              <w:t>本年度办理结果</w:t>
            </w:r>
          </w:p>
        </w:tc>
        <w:tc>
          <w:tcPr>
            <w:tcW w:w="3387" w:type="dxa"/>
            <w:gridSpan w:val="2"/>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left"/>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（一）予已公开</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3387" w:type="dxa"/>
            <w:gridSpan w:val="2"/>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left"/>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（二）部分公开（区分处理的，只计这一情形，不计其他情形）</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880" w:type="dxa"/>
            <w:vMerge w:val="restart"/>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（三）</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不予</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公开</w:t>
            </w: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left"/>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1.属于国家秘密</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left"/>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其他法律行政法规禁止公开</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left"/>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3.危及“三安全一稳定”</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left"/>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4.保护第三方合法权益</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left"/>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5.属于三类内部事务信息</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left"/>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6.属于四类过程性信息</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left"/>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7.属于行政执法案卷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left"/>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8.属于行政查询事项</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880" w:type="dxa"/>
            <w:vMerge w:val="restart"/>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（四）</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无法</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提供</w:t>
            </w: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left"/>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本机关不掌握相关政府</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left"/>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信息</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left"/>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2.没有现成信息需要另行制作</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left"/>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3.补正后申请内容仍不明确</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880" w:type="dxa"/>
            <w:vMerge w:val="restart"/>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（五）</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不予</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处理</w:t>
            </w: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left"/>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1.信访举报投诉类申请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left"/>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2.重复申请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left"/>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3.要求提供公开出版物</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left"/>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4.无正当理由大量反复申请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left"/>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5.要求行政机关确认或重新出具已获取信息</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880" w:type="dxa"/>
            <w:vMerge w:val="restart"/>
            <w:tcBorders>
              <w:top w:val="nil"/>
              <w:left w:val="nil"/>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（六）</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其他</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default" w:ascii="宋体" w:hAnsi="宋体" w:eastAsia="宋体" w:cs="宋体"/>
                <w:b/>
                <w:bCs/>
                <w:sz w:val="20"/>
                <w:szCs w:val="20"/>
                <w:lang w:val="en-US" w:eastAsia="zh-CN"/>
              </w:rPr>
            </w:pPr>
            <w:r>
              <w:rPr>
                <w:rFonts w:hint="eastAsia" w:ascii="宋体" w:hAnsi="宋体" w:eastAsia="宋体" w:cs="宋体"/>
                <w:b/>
                <w:bCs/>
                <w:sz w:val="20"/>
                <w:szCs w:val="20"/>
                <w:lang w:val="en-US" w:eastAsia="zh-CN"/>
              </w:rPr>
              <w:t>处理</w:t>
            </w: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left"/>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1.申请人无正当理由逾期不补正、行政机关不再处理其政府信息公开申请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880" w:type="dxa"/>
            <w:vMerge w:val="continue"/>
            <w:tcBorders>
              <w:left w:val="nil"/>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default" w:ascii="宋体" w:hAnsi="宋体" w:eastAsia="宋体" w:cs="宋体"/>
                <w:sz w:val="20"/>
                <w:szCs w:val="20"/>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left"/>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2.申请人逾期未按收费通知要求缴纳费用、行政机关不再处理其政府信息公开申请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20"/>
                <w:szCs w:val="20"/>
                <w:lang w:val="en-US" w:eastAsia="zh-CN"/>
              </w:rPr>
            </w:pPr>
          </w:p>
        </w:tc>
        <w:tc>
          <w:tcPr>
            <w:tcW w:w="880" w:type="dxa"/>
            <w:vMerge w:val="continue"/>
            <w:tcBorders>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default" w:ascii="宋体" w:hAnsi="宋体" w:eastAsia="宋体" w:cs="宋体"/>
                <w:sz w:val="20"/>
                <w:szCs w:val="20"/>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left"/>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3.其他</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p>
        </w:tc>
        <w:tc>
          <w:tcPr>
            <w:tcW w:w="3387" w:type="dxa"/>
            <w:gridSpan w:val="2"/>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（七）总计</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四、结转下年度继续办理</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0</w:t>
            </w:r>
          </w:p>
        </w:tc>
      </w:tr>
    </w:tbl>
    <w:p>
      <w:pPr>
        <w:keepNext w:val="0"/>
        <w:keepLines w:val="0"/>
        <w:pageBreakBefore w:val="0"/>
        <w:numPr>
          <w:ilvl w:val="0"/>
          <w:numId w:val="0"/>
        </w:numPr>
        <w:kinsoku/>
        <w:overflowPunct/>
        <w:topLinePunct w:val="0"/>
        <w:autoSpaceDE/>
        <w:autoSpaceDN/>
        <w:bidi w:val="0"/>
        <w:adjustRightInd/>
        <w:snapToGrid/>
        <w:spacing w:line="600" w:lineRule="exact"/>
        <w:ind w:firstLine="640" w:firstLineChars="200"/>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四、政府信息公开行政复议、行政诉讼情况</w:t>
      </w:r>
    </w:p>
    <w:tbl>
      <w:tblPr>
        <w:tblStyle w:val="8"/>
        <w:tblW w:w="8642"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540"/>
        <w:gridCol w:w="540"/>
        <w:gridCol w:w="495"/>
        <w:gridCol w:w="549"/>
        <w:gridCol w:w="548"/>
        <w:gridCol w:w="682"/>
        <w:gridCol w:w="600"/>
        <w:gridCol w:w="600"/>
        <w:gridCol w:w="600"/>
        <w:gridCol w:w="503"/>
        <w:gridCol w:w="712"/>
        <w:gridCol w:w="600"/>
        <w:gridCol w:w="600"/>
        <w:gridCol w:w="600"/>
        <w:gridCol w:w="47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2672" w:type="dxa"/>
            <w:gridSpan w:val="5"/>
            <w:tcBorders>
              <w:top w:val="single" w:color="auto" w:sz="6" w:space="0"/>
              <w:left w:val="single" w:color="auto" w:sz="6" w:space="0"/>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2"/>
                <w:szCs w:val="22"/>
                <w:lang w:val="en-US" w:eastAsia="zh-CN"/>
              </w:rPr>
            </w:pPr>
            <w:r>
              <w:rPr>
                <w:rFonts w:hint="eastAsia" w:ascii="宋体" w:hAnsi="宋体" w:eastAsia="宋体" w:cs="宋体"/>
                <w:b/>
                <w:bCs/>
                <w:sz w:val="22"/>
                <w:szCs w:val="22"/>
                <w:lang w:val="en-US" w:eastAsia="zh-CN"/>
              </w:rPr>
              <w:t>行政复议</w:t>
            </w:r>
          </w:p>
        </w:tc>
        <w:tc>
          <w:tcPr>
            <w:tcW w:w="5970" w:type="dxa"/>
            <w:gridSpan w:val="10"/>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22"/>
                <w:szCs w:val="22"/>
                <w:lang w:val="en-US" w:eastAsia="zh-CN"/>
              </w:rPr>
            </w:pPr>
            <w:r>
              <w:rPr>
                <w:rFonts w:hint="eastAsia" w:ascii="宋体" w:hAnsi="宋体" w:eastAsia="宋体" w:cs="宋体"/>
                <w:b/>
                <w:bCs/>
                <w:sz w:val="22"/>
                <w:szCs w:val="22"/>
                <w:lang w:val="en-US" w:eastAsia="zh-CN"/>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PrEx>
        <w:trPr>
          <w:jc w:val="center"/>
        </w:trPr>
        <w:tc>
          <w:tcPr>
            <w:tcW w:w="540" w:type="dxa"/>
            <w:vMerge w:val="restart"/>
            <w:tcBorders>
              <w:top w:val="nil"/>
              <w:left w:val="single" w:color="auto" w:sz="6" w:space="0"/>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结果维持</w:t>
            </w:r>
          </w:p>
        </w:tc>
        <w:tc>
          <w:tcPr>
            <w:tcW w:w="540" w:type="dxa"/>
            <w:vMerge w:val="restart"/>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结果纠正</w:t>
            </w:r>
          </w:p>
        </w:tc>
        <w:tc>
          <w:tcPr>
            <w:tcW w:w="495" w:type="dxa"/>
            <w:vMerge w:val="restart"/>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其他结果</w:t>
            </w:r>
          </w:p>
        </w:tc>
        <w:tc>
          <w:tcPr>
            <w:tcW w:w="549" w:type="dxa"/>
            <w:vMerge w:val="restart"/>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尚未审结</w:t>
            </w:r>
          </w:p>
        </w:tc>
        <w:tc>
          <w:tcPr>
            <w:tcW w:w="548" w:type="dxa"/>
            <w:vMerge w:val="restart"/>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计</w:t>
            </w:r>
          </w:p>
        </w:tc>
        <w:tc>
          <w:tcPr>
            <w:tcW w:w="2985" w:type="dxa"/>
            <w:gridSpan w:val="5"/>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18"/>
                <w:szCs w:val="18"/>
                <w:lang w:val="en-US" w:eastAsia="zh-CN"/>
              </w:rPr>
            </w:pPr>
            <w:r>
              <w:rPr>
                <w:rFonts w:hint="eastAsia" w:ascii="宋体" w:hAnsi="宋体" w:eastAsia="宋体" w:cs="宋体"/>
                <w:b/>
                <w:bCs/>
                <w:sz w:val="18"/>
                <w:szCs w:val="18"/>
                <w:lang w:val="en-US" w:eastAsia="zh-CN"/>
              </w:rPr>
              <w:t>未经复议直接起诉</w:t>
            </w:r>
          </w:p>
        </w:tc>
        <w:tc>
          <w:tcPr>
            <w:tcW w:w="2985" w:type="dxa"/>
            <w:gridSpan w:val="5"/>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b/>
                <w:bCs/>
                <w:sz w:val="18"/>
                <w:szCs w:val="18"/>
                <w:lang w:val="en-US" w:eastAsia="zh-CN"/>
              </w:rPr>
            </w:pPr>
            <w:r>
              <w:rPr>
                <w:rFonts w:hint="eastAsia" w:ascii="宋体" w:hAnsi="宋体" w:eastAsia="宋体" w:cs="宋体"/>
                <w:b/>
                <w:bCs/>
                <w:sz w:val="18"/>
                <w:szCs w:val="18"/>
                <w:lang w:val="en-US" w:eastAsia="zh-CN"/>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PrEx>
        <w:trPr>
          <w:jc w:val="center"/>
        </w:trPr>
        <w:tc>
          <w:tcPr>
            <w:tcW w:w="540" w:type="dxa"/>
            <w:vMerge w:val="continue"/>
            <w:tcBorders>
              <w:top w:val="nil"/>
              <w:left w:val="single" w:color="auto" w:sz="6" w:space="0"/>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p>
        </w:tc>
        <w:tc>
          <w:tcPr>
            <w:tcW w:w="540" w:type="dxa"/>
            <w:vMerge w:val="continue"/>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p>
        </w:tc>
        <w:tc>
          <w:tcPr>
            <w:tcW w:w="495" w:type="dxa"/>
            <w:vMerge w:val="continue"/>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p>
        </w:tc>
        <w:tc>
          <w:tcPr>
            <w:tcW w:w="549" w:type="dxa"/>
            <w:vMerge w:val="continue"/>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p>
        </w:tc>
        <w:tc>
          <w:tcPr>
            <w:tcW w:w="548" w:type="dxa"/>
            <w:vMerge w:val="continue"/>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p>
        </w:tc>
        <w:tc>
          <w:tcPr>
            <w:tcW w:w="682" w:type="dxa"/>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维持</w:t>
            </w:r>
          </w:p>
        </w:tc>
        <w:tc>
          <w:tcPr>
            <w:tcW w:w="600" w:type="dxa"/>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纠正</w:t>
            </w:r>
          </w:p>
        </w:tc>
        <w:tc>
          <w:tcPr>
            <w:tcW w:w="600" w:type="dxa"/>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tc>
        <w:tc>
          <w:tcPr>
            <w:tcW w:w="600" w:type="dxa"/>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审结</w:t>
            </w:r>
          </w:p>
        </w:tc>
        <w:tc>
          <w:tcPr>
            <w:tcW w:w="503" w:type="dxa"/>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计</w:t>
            </w:r>
          </w:p>
        </w:tc>
        <w:tc>
          <w:tcPr>
            <w:tcW w:w="712" w:type="dxa"/>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维持</w:t>
            </w:r>
          </w:p>
        </w:tc>
        <w:tc>
          <w:tcPr>
            <w:tcW w:w="600" w:type="dxa"/>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纠正</w:t>
            </w:r>
          </w:p>
        </w:tc>
        <w:tc>
          <w:tcPr>
            <w:tcW w:w="600" w:type="dxa"/>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tc>
        <w:tc>
          <w:tcPr>
            <w:tcW w:w="600" w:type="dxa"/>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审结</w:t>
            </w:r>
          </w:p>
        </w:tc>
        <w:tc>
          <w:tcPr>
            <w:tcW w:w="473" w:type="dxa"/>
            <w:tcBorders>
              <w:top w:val="single" w:color="auto" w:sz="6" w:space="0"/>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PrEx>
        <w:trPr>
          <w:jc w:val="center"/>
        </w:trPr>
        <w:tc>
          <w:tcPr>
            <w:tcW w:w="540" w:type="dxa"/>
            <w:tcBorders>
              <w:top w:val="nil"/>
              <w:left w:val="single" w:color="auto" w:sz="6" w:space="0"/>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0</w:t>
            </w:r>
          </w:p>
        </w:tc>
        <w:tc>
          <w:tcPr>
            <w:tcW w:w="540" w:type="dxa"/>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0</w:t>
            </w:r>
          </w:p>
        </w:tc>
        <w:tc>
          <w:tcPr>
            <w:tcW w:w="495" w:type="dxa"/>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0</w:t>
            </w:r>
          </w:p>
        </w:tc>
        <w:tc>
          <w:tcPr>
            <w:tcW w:w="549" w:type="dxa"/>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0</w:t>
            </w:r>
          </w:p>
        </w:tc>
        <w:tc>
          <w:tcPr>
            <w:tcW w:w="548" w:type="dxa"/>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0</w:t>
            </w:r>
          </w:p>
        </w:tc>
        <w:tc>
          <w:tcPr>
            <w:tcW w:w="682" w:type="dxa"/>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0</w:t>
            </w:r>
          </w:p>
        </w:tc>
        <w:tc>
          <w:tcPr>
            <w:tcW w:w="503" w:type="dxa"/>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0</w:t>
            </w:r>
          </w:p>
        </w:tc>
        <w:tc>
          <w:tcPr>
            <w:tcW w:w="712" w:type="dxa"/>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0</w:t>
            </w:r>
          </w:p>
        </w:tc>
        <w:tc>
          <w:tcPr>
            <w:tcW w:w="473" w:type="dxa"/>
            <w:tcBorders>
              <w:top w:val="nil"/>
              <w:left w:val="nil"/>
              <w:bottom w:val="single" w:color="auto" w:sz="6" w:space="0"/>
              <w:right w:val="single" w:color="auto" w:sz="6" w:space="0"/>
            </w:tcBorders>
            <w:shd w:val="clear" w:color="auto" w:fill="auto"/>
            <w:vAlign w:val="center"/>
          </w:tcPr>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0"/>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0</w:t>
            </w:r>
          </w:p>
        </w:tc>
      </w:tr>
    </w:tbl>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五、存在的问题及改进情况</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2025年以来，在县政务服务中心领导的指导关心下，在乡党委、政府领导的高度重视下，合河口乡政府信息公开工作顺利完成了全年指标任务。取得了一定成效，也存在一些不足。</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楷体" w:hAnsi="楷体" w:eastAsia="楷体" w:cs="楷体"/>
          <w:b w:val="0"/>
          <w:i w:val="0"/>
          <w:caps w:val="0"/>
          <w:color w:val="212121"/>
          <w:spacing w:val="0"/>
          <w:kern w:val="0"/>
          <w:sz w:val="32"/>
          <w:szCs w:val="32"/>
          <w:shd w:val="clear" w:fill="FFFFFF"/>
          <w:lang w:val="en-US" w:eastAsia="zh-CN" w:bidi="ar"/>
        </w:rPr>
        <w:t>（一）工作程序规范性仍需加强。</w:t>
      </w:r>
      <w:r>
        <w:rPr>
          <w:rFonts w:hint="eastAsia" w:ascii="仿宋" w:hAnsi="仿宋" w:eastAsia="仿宋" w:cs="仿宋"/>
          <w:b w:val="0"/>
          <w:i w:val="0"/>
          <w:caps w:val="0"/>
          <w:color w:val="212121"/>
          <w:spacing w:val="0"/>
          <w:kern w:val="0"/>
          <w:sz w:val="32"/>
          <w:szCs w:val="32"/>
          <w:shd w:val="clear" w:fill="FFFFFF"/>
          <w:lang w:val="en-US" w:eastAsia="zh-CN" w:bidi="ar"/>
        </w:rPr>
        <w:t>随着政务公开、村务公开、党务公开等信息公开工作的深化推进，部分干部职工、村“两委”干部对信息公开工作的公开内容和方式认识不全面、不深刻，对公开信息流程规范性掌握不熟悉、不主动。</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楷体" w:hAnsi="楷体" w:eastAsia="楷体" w:cs="楷体"/>
          <w:b w:val="0"/>
          <w:i w:val="0"/>
          <w:caps w:val="0"/>
          <w:color w:val="212121"/>
          <w:spacing w:val="0"/>
          <w:kern w:val="0"/>
          <w:sz w:val="32"/>
          <w:szCs w:val="32"/>
          <w:shd w:val="clear" w:fill="FFFFFF"/>
          <w:lang w:val="en-US" w:eastAsia="zh-CN" w:bidi="ar"/>
        </w:rPr>
        <w:t>（二）专业知识相关培训不足。</w:t>
      </w:r>
      <w:r>
        <w:rPr>
          <w:rFonts w:hint="eastAsia" w:ascii="仿宋" w:hAnsi="仿宋" w:eastAsia="仿宋" w:cs="仿宋"/>
          <w:b w:val="0"/>
          <w:i w:val="0"/>
          <w:caps w:val="0"/>
          <w:color w:val="212121"/>
          <w:spacing w:val="0"/>
          <w:kern w:val="0"/>
          <w:sz w:val="32"/>
          <w:szCs w:val="32"/>
          <w:shd w:val="clear" w:fill="FFFFFF"/>
          <w:lang w:val="en-US" w:eastAsia="zh-CN" w:bidi="ar"/>
        </w:rPr>
        <w:t>个别信息公开工作人员对信息公开流程把握不准，对信息公开方式了解不够全面，特别是村“两委”干部普遍存在不能熟练使用电脑现象，致使村级政务公开存在一定障碍。</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楷体" w:hAnsi="楷体" w:eastAsia="楷体" w:cs="楷体"/>
          <w:b w:val="0"/>
          <w:i w:val="0"/>
          <w:caps w:val="0"/>
          <w:color w:val="212121"/>
          <w:spacing w:val="0"/>
          <w:kern w:val="0"/>
          <w:sz w:val="32"/>
          <w:szCs w:val="32"/>
          <w:shd w:val="clear" w:fill="FFFFFF"/>
          <w:lang w:val="en-US" w:eastAsia="zh-CN" w:bidi="ar"/>
        </w:rPr>
        <w:t>（三）信息公开方式比较单一。</w:t>
      </w:r>
      <w:r>
        <w:rPr>
          <w:rFonts w:hint="eastAsia" w:ascii="仿宋" w:hAnsi="仿宋" w:eastAsia="仿宋" w:cs="仿宋"/>
          <w:b w:val="0"/>
          <w:i w:val="0"/>
          <w:caps w:val="0"/>
          <w:color w:val="212121"/>
          <w:spacing w:val="0"/>
          <w:kern w:val="0"/>
          <w:sz w:val="32"/>
          <w:szCs w:val="32"/>
          <w:shd w:val="clear" w:fill="FFFFFF"/>
          <w:lang w:val="en-US" w:eastAsia="zh-CN" w:bidi="ar"/>
        </w:rPr>
        <w:t>对标先进，我乡信息公开查阅场所、主动公开信息的平台还比较单一，设施也不够完善。</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下一步，我乡将继续严格按照政府信息公开、政务公开的各项要求和目标，依托统一政府网站，持续完善政府信息公开内容，提升信息公开时效性。</w:t>
      </w:r>
      <w:r>
        <w:rPr>
          <w:rFonts w:hint="eastAsia" w:ascii="仿宋" w:hAnsi="仿宋" w:eastAsia="仿宋" w:cs="仿宋"/>
          <w:b/>
          <w:bCs/>
          <w:i w:val="0"/>
          <w:caps w:val="0"/>
          <w:color w:val="212121"/>
          <w:spacing w:val="0"/>
          <w:kern w:val="0"/>
          <w:sz w:val="32"/>
          <w:szCs w:val="32"/>
          <w:shd w:val="clear" w:fill="FFFFFF"/>
          <w:lang w:val="en-US" w:eastAsia="zh-CN" w:bidi="ar"/>
        </w:rPr>
        <w:t>一是</w:t>
      </w:r>
      <w:r>
        <w:rPr>
          <w:rFonts w:hint="eastAsia" w:ascii="仿宋" w:hAnsi="仿宋" w:eastAsia="仿宋" w:cs="仿宋"/>
          <w:b w:val="0"/>
          <w:i w:val="0"/>
          <w:caps w:val="0"/>
          <w:color w:val="212121"/>
          <w:spacing w:val="0"/>
          <w:kern w:val="0"/>
          <w:sz w:val="32"/>
          <w:szCs w:val="32"/>
          <w:shd w:val="clear" w:fill="FFFFFF"/>
          <w:lang w:val="en-US" w:eastAsia="zh-CN" w:bidi="ar"/>
        </w:rPr>
        <w:t>加强宣传教育，进一步增强干部做好信息公开工作的责任感和使命感，争取社会公众更深入地理解和支持。</w:t>
      </w:r>
      <w:r>
        <w:rPr>
          <w:rFonts w:hint="eastAsia" w:ascii="仿宋" w:hAnsi="仿宋" w:eastAsia="仿宋" w:cs="仿宋"/>
          <w:b/>
          <w:bCs/>
          <w:i w:val="0"/>
          <w:caps w:val="0"/>
          <w:color w:val="212121"/>
          <w:spacing w:val="0"/>
          <w:kern w:val="0"/>
          <w:sz w:val="32"/>
          <w:szCs w:val="32"/>
          <w:shd w:val="clear" w:fill="FFFFFF"/>
          <w:lang w:val="en-US" w:eastAsia="zh-CN" w:bidi="ar"/>
        </w:rPr>
        <w:t>二是</w:t>
      </w:r>
      <w:r>
        <w:rPr>
          <w:rFonts w:hint="eastAsia" w:ascii="仿宋" w:hAnsi="仿宋" w:eastAsia="仿宋" w:cs="仿宋"/>
          <w:b w:val="0"/>
          <w:i w:val="0"/>
          <w:caps w:val="0"/>
          <w:color w:val="212121"/>
          <w:spacing w:val="0"/>
          <w:kern w:val="0"/>
          <w:sz w:val="32"/>
          <w:szCs w:val="32"/>
          <w:shd w:val="clear" w:fill="FFFFFF"/>
          <w:lang w:val="en-US" w:eastAsia="zh-CN" w:bidi="ar"/>
        </w:rPr>
        <w:t>加强督促指导，健全信息公开工作制度，进一步规范信息公开行为和具体公开内容，不断提高信息公开质效。</w:t>
      </w:r>
      <w:r>
        <w:rPr>
          <w:rFonts w:hint="eastAsia" w:ascii="仿宋" w:hAnsi="仿宋" w:eastAsia="仿宋" w:cs="仿宋"/>
          <w:b/>
          <w:bCs/>
          <w:i w:val="0"/>
          <w:caps w:val="0"/>
          <w:color w:val="212121"/>
          <w:spacing w:val="0"/>
          <w:kern w:val="0"/>
          <w:sz w:val="32"/>
          <w:szCs w:val="32"/>
          <w:shd w:val="clear" w:fill="FFFFFF"/>
          <w:lang w:val="en-US" w:eastAsia="zh-CN" w:bidi="ar"/>
        </w:rPr>
        <w:t>三是</w:t>
      </w:r>
      <w:r>
        <w:rPr>
          <w:rFonts w:hint="eastAsia" w:ascii="仿宋" w:hAnsi="仿宋" w:eastAsia="仿宋" w:cs="仿宋"/>
          <w:b w:val="0"/>
          <w:i w:val="0"/>
          <w:caps w:val="0"/>
          <w:color w:val="212121"/>
          <w:spacing w:val="0"/>
          <w:kern w:val="0"/>
          <w:sz w:val="32"/>
          <w:szCs w:val="32"/>
          <w:shd w:val="clear" w:fill="FFFFFF"/>
          <w:lang w:val="en-US" w:eastAsia="zh-CN" w:bidi="ar"/>
        </w:rPr>
        <w:t>加强信息保密审查，由专人负责，严格按照保密条例，在公开信息前进行信息公开保密审查，确保信息公开真实、安全。</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六、其他需要报告的事项</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楷体" w:hAnsi="楷体" w:eastAsia="楷体" w:cs="楷体"/>
          <w:b w:val="0"/>
          <w:i w:val="0"/>
          <w:caps w:val="0"/>
          <w:color w:val="212121"/>
          <w:spacing w:val="0"/>
          <w:kern w:val="0"/>
          <w:sz w:val="32"/>
          <w:szCs w:val="32"/>
          <w:shd w:val="clear" w:fill="FFFFFF"/>
          <w:lang w:val="en-US" w:eastAsia="zh-CN" w:bidi="ar"/>
        </w:rPr>
      </w:pPr>
      <w:r>
        <w:rPr>
          <w:rFonts w:hint="eastAsia" w:ascii="楷体" w:hAnsi="楷体" w:eastAsia="楷体" w:cs="楷体"/>
          <w:b w:val="0"/>
          <w:i w:val="0"/>
          <w:caps w:val="0"/>
          <w:color w:val="212121"/>
          <w:spacing w:val="0"/>
          <w:kern w:val="0"/>
          <w:sz w:val="32"/>
          <w:szCs w:val="32"/>
          <w:shd w:val="clear" w:fill="FFFFFF"/>
          <w:lang w:val="en-US" w:eastAsia="zh-CN" w:bidi="ar"/>
        </w:rPr>
        <w:t>（一）及时严格更新内容</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我乡严格执行政府信息公开制度，严格主动公开信息的保密审查，对不符合要求的、旧的信息和内容及时进行清理更新。</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楷体" w:hAnsi="楷体" w:eastAsia="楷体" w:cs="楷体"/>
          <w:b w:val="0"/>
          <w:i w:val="0"/>
          <w:caps w:val="0"/>
          <w:color w:val="212121"/>
          <w:spacing w:val="0"/>
          <w:kern w:val="0"/>
          <w:sz w:val="32"/>
          <w:szCs w:val="32"/>
          <w:shd w:val="clear" w:fill="FFFFFF"/>
          <w:lang w:val="en-US" w:eastAsia="zh-CN" w:bidi="ar"/>
        </w:rPr>
        <w:t>（二）收费及减免情况</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2025年我乡未发生政府信息公开的收费及减免情况。</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i w:val="0"/>
          <w:caps w:val="0"/>
          <w:color w:val="212121"/>
          <w:spacing w:val="0"/>
          <w:kern w:val="0"/>
          <w:sz w:val="32"/>
          <w:szCs w:val="32"/>
          <w:shd w:val="clear" w:fill="FFFFFF"/>
          <w:lang w:val="en-US" w:eastAsia="zh-CN" w:bidi="ar"/>
        </w:rPr>
      </w:pPr>
    </w:p>
    <w:p>
      <w:pPr>
        <w:keepNext w:val="0"/>
        <w:keepLines w:val="0"/>
        <w:pageBreakBefore w:val="0"/>
        <w:numPr>
          <w:ilvl w:val="0"/>
          <w:numId w:val="0"/>
        </w:numPr>
        <w:kinsoku/>
        <w:wordWrap w:val="0"/>
        <w:overflowPunct/>
        <w:topLinePunct w:val="0"/>
        <w:autoSpaceDE/>
        <w:autoSpaceDN/>
        <w:bidi w:val="0"/>
        <w:adjustRightInd/>
        <w:snapToGrid/>
        <w:spacing w:line="600" w:lineRule="exact"/>
        <w:ind w:firstLine="640" w:firstLineChars="200"/>
        <w:jc w:val="right"/>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 xml:space="preserve">  合河口乡人民政府        </w:t>
      </w:r>
    </w:p>
    <w:p>
      <w:pPr>
        <w:keepNext w:val="0"/>
        <w:keepLines w:val="0"/>
        <w:pageBreakBefore w:val="0"/>
        <w:numPr>
          <w:ilvl w:val="0"/>
          <w:numId w:val="0"/>
        </w:numPr>
        <w:kinsoku/>
        <w:wordWrap w:val="0"/>
        <w:overflowPunct/>
        <w:topLinePunct w:val="0"/>
        <w:autoSpaceDE/>
        <w:autoSpaceDN/>
        <w:bidi w:val="0"/>
        <w:adjustRightInd/>
        <w:snapToGrid/>
        <w:spacing w:line="600" w:lineRule="exact"/>
        <w:ind w:firstLine="640" w:firstLineChars="200"/>
        <w:jc w:val="center"/>
        <w:textAlignment w:val="auto"/>
      </w:pPr>
      <w:r>
        <w:rPr>
          <w:rFonts w:hint="eastAsia" w:ascii="仿宋" w:hAnsi="仿宋" w:eastAsia="仿宋" w:cs="仿宋"/>
          <w:b w:val="0"/>
          <w:i w:val="0"/>
          <w:caps w:val="0"/>
          <w:color w:val="212121"/>
          <w:spacing w:val="0"/>
          <w:kern w:val="0"/>
          <w:sz w:val="32"/>
          <w:szCs w:val="32"/>
          <w:shd w:val="clear" w:fill="FFFFFF"/>
          <w:lang w:val="en-US" w:eastAsia="zh-CN" w:bidi="ar"/>
        </w:rPr>
        <w:t xml:space="preserve">                         2025年1月15日    </w:t>
      </w:r>
    </w:p>
    <w:sectPr>
      <w:footerReference r:id="rId3" w:type="default"/>
      <w:pgSz w:w="11906" w:h="16838"/>
      <w:pgMar w:top="1984" w:right="1417" w:bottom="1701" w:left="141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方正小标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sz w:val="28"/>
                              <w:szCs w:val="28"/>
                            </w:rPr>
                          </w:pP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  \* MERGEFORMAT </w:instrText>
                          </w:r>
                          <w:r>
                            <w:rPr>
                              <w:rFonts w:hint="eastAsia" w:ascii="仿宋" w:hAnsi="仿宋" w:eastAsia="仿宋" w:cs="仿宋"/>
                              <w:sz w:val="28"/>
                              <w:szCs w:val="28"/>
                            </w:rPr>
                            <w:fldChar w:fldCharType="separate"/>
                          </w:r>
                          <w:r>
                            <w:rPr>
                              <w:rFonts w:hint="eastAsia" w:ascii="仿宋" w:hAnsi="仿宋" w:eastAsia="仿宋" w:cs="仿宋"/>
                              <w:sz w:val="28"/>
                              <w:szCs w:val="28"/>
                            </w:rPr>
                            <w:t>1</w:t>
                          </w:r>
                          <w:r>
                            <w:rPr>
                              <w:rFonts w:hint="eastAsia" w:ascii="仿宋" w:hAnsi="仿宋" w:eastAsia="仿宋" w:cs="仿宋"/>
                              <w:sz w:val="28"/>
                              <w:szCs w:val="28"/>
                            </w:rPr>
                            <w:fldChar w:fldCharType="end"/>
                          </w:r>
                          <w:r>
                            <w:rPr>
                              <w:rFonts w:hint="eastAsia" w:ascii="仿宋" w:hAnsi="仿宋" w:eastAsia="仿宋" w:cs="仿宋"/>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sz w:val="28"/>
                        <w:szCs w:val="28"/>
                      </w:rPr>
                    </w:pP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  \* MERGEFORMAT </w:instrText>
                    </w:r>
                    <w:r>
                      <w:rPr>
                        <w:rFonts w:hint="eastAsia" w:ascii="仿宋" w:hAnsi="仿宋" w:eastAsia="仿宋" w:cs="仿宋"/>
                        <w:sz w:val="28"/>
                        <w:szCs w:val="28"/>
                      </w:rPr>
                      <w:fldChar w:fldCharType="separate"/>
                    </w:r>
                    <w:r>
                      <w:rPr>
                        <w:rFonts w:hint="eastAsia" w:ascii="仿宋" w:hAnsi="仿宋" w:eastAsia="仿宋" w:cs="仿宋"/>
                        <w:sz w:val="28"/>
                        <w:szCs w:val="28"/>
                      </w:rPr>
                      <w:t>1</w:t>
                    </w:r>
                    <w:r>
                      <w:rPr>
                        <w:rFonts w:hint="eastAsia" w:ascii="仿宋" w:hAnsi="仿宋" w:eastAsia="仿宋" w:cs="仿宋"/>
                        <w:sz w:val="28"/>
                        <w:szCs w:val="28"/>
                      </w:rPr>
                      <w:fldChar w:fldCharType="end"/>
                    </w:r>
                    <w:r>
                      <w:rPr>
                        <w:rFonts w:hint="eastAsia" w:ascii="仿宋" w:hAnsi="仿宋" w:eastAsia="仿宋" w:cs="仿宋"/>
                        <w:sz w:val="28"/>
                        <w:szCs w:val="28"/>
                        <w:lang w:val="en-US"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k2YTg3ODY4MzYyYzQyOTZlMWNhODhiOGIzYzdiNjMifQ=="/>
  </w:docVars>
  <w:rsids>
    <w:rsidRoot w:val="19D94F24"/>
    <w:rsid w:val="00EF1126"/>
    <w:rsid w:val="027F4D05"/>
    <w:rsid w:val="0419562A"/>
    <w:rsid w:val="06F4271B"/>
    <w:rsid w:val="09496D37"/>
    <w:rsid w:val="0D351B3D"/>
    <w:rsid w:val="0F0F154D"/>
    <w:rsid w:val="12065AD3"/>
    <w:rsid w:val="12A907B5"/>
    <w:rsid w:val="157800C2"/>
    <w:rsid w:val="16B87420"/>
    <w:rsid w:val="183323C1"/>
    <w:rsid w:val="189A60FF"/>
    <w:rsid w:val="18DB2989"/>
    <w:rsid w:val="19AE18C5"/>
    <w:rsid w:val="19D94F24"/>
    <w:rsid w:val="19F90FBC"/>
    <w:rsid w:val="1AC724D9"/>
    <w:rsid w:val="1EDD3086"/>
    <w:rsid w:val="1F7227B6"/>
    <w:rsid w:val="2593624D"/>
    <w:rsid w:val="279A55B5"/>
    <w:rsid w:val="2D6B16DA"/>
    <w:rsid w:val="2F4862FA"/>
    <w:rsid w:val="2F6C5DDD"/>
    <w:rsid w:val="363B6200"/>
    <w:rsid w:val="3A052780"/>
    <w:rsid w:val="3B027E16"/>
    <w:rsid w:val="3CDE2F24"/>
    <w:rsid w:val="3DCA0363"/>
    <w:rsid w:val="3E686BA1"/>
    <w:rsid w:val="42025065"/>
    <w:rsid w:val="422E1FA9"/>
    <w:rsid w:val="49153299"/>
    <w:rsid w:val="4B2A0947"/>
    <w:rsid w:val="4C387A04"/>
    <w:rsid w:val="4E577EB0"/>
    <w:rsid w:val="51722469"/>
    <w:rsid w:val="51846812"/>
    <w:rsid w:val="52DF5706"/>
    <w:rsid w:val="5F61282E"/>
    <w:rsid w:val="607641C6"/>
    <w:rsid w:val="616F1563"/>
    <w:rsid w:val="62A75A56"/>
    <w:rsid w:val="689C7CEB"/>
    <w:rsid w:val="6D475FD1"/>
    <w:rsid w:val="6F032FE1"/>
    <w:rsid w:val="6FB73341"/>
    <w:rsid w:val="701A01F9"/>
    <w:rsid w:val="715469B1"/>
    <w:rsid w:val="71844269"/>
    <w:rsid w:val="76F71285"/>
    <w:rsid w:val="7C91736A"/>
    <w:rsid w:val="7CB33AAC"/>
    <w:rsid w:val="7DBE35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qFormat/>
    <w:uiPriority w:val="0"/>
    <w:pPr>
      <w:keepNext/>
      <w:keepLines/>
      <w:spacing w:beforeLines="0" w:beforeAutospacing="0" w:afterLines="0" w:afterAutospacing="0" w:line="600" w:lineRule="exact"/>
      <w:ind w:firstLine="0" w:firstLineChars="0"/>
      <w:jc w:val="center"/>
      <w:outlineLvl w:val="0"/>
    </w:pPr>
    <w:rPr>
      <w:rFonts w:ascii="Calibri" w:hAnsi="Calibri" w:eastAsia="宋体" w:cs="Times New Roman"/>
      <w:b/>
      <w:kern w:val="44"/>
      <w:sz w:val="44"/>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Normal Indent"/>
    <w:basedOn w:val="1"/>
    <w:qFormat/>
    <w:uiPriority w:val="0"/>
    <w:pPr>
      <w:ind w:firstLine="420" w:firstLineChars="200"/>
    </w:pPr>
  </w:style>
  <w:style w:type="paragraph" w:styleId="4">
    <w:name w:val="footer"/>
    <w:basedOn w:val="1"/>
    <w:qFormat/>
    <w:uiPriority w:val="99"/>
    <w:pPr>
      <w:tabs>
        <w:tab w:val="center" w:pos="4153"/>
        <w:tab w:val="right" w:pos="8306"/>
      </w:tabs>
      <w:snapToGrid w:val="0"/>
      <w:jc w:val="left"/>
    </w:pPr>
    <w:rPr>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paragraph" w:styleId="7">
    <w:name w:val="Title"/>
    <w:basedOn w:val="1"/>
    <w:next w:val="1"/>
    <w:qFormat/>
    <w:uiPriority w:val="0"/>
    <w:pPr>
      <w:spacing w:before="240" w:after="60"/>
      <w:jc w:val="center"/>
    </w:pPr>
    <w:rPr>
      <w:rFonts w:ascii="等线 Light" w:hAnsi="等线 Light" w:eastAsia="等线 Light" w:cs="Times New Roman"/>
      <w:b/>
      <w:bCs/>
      <w:sz w:val="32"/>
      <w:szCs w:val="32"/>
    </w:rPr>
  </w:style>
  <w:style w:type="character" w:styleId="10">
    <w:name w:val="Strong"/>
    <w:basedOn w:val="9"/>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2628</Words>
  <Characters>2723</Characters>
  <Lines>0</Lines>
  <Paragraphs>0</Paragraphs>
  <TotalTime>177</TotalTime>
  <ScaleCrop>false</ScaleCrop>
  <LinksUpToDate>false</LinksUpToDate>
  <CharactersWithSpaces>2766</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2024-01-12T06:17:00Z</dcterms:created>
  <dc:creator>千羽冰</dc:creator>
  <cp:lastModifiedBy>chasel</cp:lastModifiedBy>
  <dcterms:modified xsi:type="dcterms:W3CDTF">2026-01-15T02:51:03Z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C9D5C8CBDFC54D20A7516A235CCBCC40_13</vt:lpwstr>
  </property>
  <property fmtid="{D5CDD505-2E9C-101B-9397-08002B2CF9AE}" pid="4" name="KSOTemplateDocerSaveRecord">
    <vt:lpwstr>eyJoZGlkIjoiYjlhYTU2NzU5Yzc0NThlZjI2MTAyYjAzOWE2YWE5Y2MiLCJ1c2VySWQiOiIyOTYzODI2MjAifQ==</vt:lpwstr>
  </property>
</Properties>
</file>