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heme="majorEastAsia" w:hAnsiTheme="majorEastAsia" w:eastAsiaTheme="majorEastAsia" w:cstheme="majorEastAsia"/>
          <w:i w:val="0"/>
          <w:caps w:val="0"/>
          <w:color w:val="333333"/>
          <w:spacing w:val="0"/>
          <w:sz w:val="44"/>
          <w:szCs w:val="44"/>
          <w:shd w:val="clear" w:fill="FFFFFF"/>
          <w:lang w:val="en-US" w:eastAsia="zh-CN"/>
        </w:rPr>
      </w:pPr>
      <w:r>
        <w:rPr>
          <w:rFonts w:hint="eastAsia" w:asciiTheme="majorEastAsia" w:hAnsiTheme="majorEastAsia" w:eastAsiaTheme="majorEastAsia" w:cstheme="majorEastAsia"/>
          <w:i w:val="0"/>
          <w:caps w:val="0"/>
          <w:color w:val="333333"/>
          <w:spacing w:val="0"/>
          <w:sz w:val="44"/>
          <w:szCs w:val="44"/>
          <w:shd w:val="clear" w:fill="FFFFFF"/>
        </w:rPr>
        <w:t>平山县</w:t>
      </w:r>
      <w:r>
        <w:rPr>
          <w:rFonts w:hint="eastAsia" w:asciiTheme="majorEastAsia" w:hAnsiTheme="majorEastAsia" w:eastAsiaTheme="majorEastAsia" w:cstheme="majorEastAsia"/>
          <w:i w:val="0"/>
          <w:caps w:val="0"/>
          <w:color w:val="333333"/>
          <w:spacing w:val="0"/>
          <w:sz w:val="44"/>
          <w:szCs w:val="44"/>
          <w:shd w:val="clear" w:fill="FFFFFF"/>
          <w:lang w:val="en-US" w:eastAsia="zh-CN"/>
        </w:rPr>
        <w:t>孟家庄镇</w:t>
      </w:r>
    </w:p>
    <w:p>
      <w:pPr>
        <w:jc w:val="center"/>
        <w:rPr>
          <w:rFonts w:hint="eastAsia" w:ascii="宋体" w:hAnsi="宋体" w:eastAsia="宋体" w:cs="宋体"/>
          <w:i w:val="0"/>
          <w:caps w:val="0"/>
          <w:color w:val="333333"/>
          <w:spacing w:val="0"/>
          <w:kern w:val="0"/>
          <w:sz w:val="21"/>
          <w:szCs w:val="21"/>
          <w:shd w:val="clear" w:fill="FFFFFF"/>
          <w:lang w:val="en-US" w:eastAsia="zh-CN" w:bidi="ar"/>
        </w:rPr>
      </w:pPr>
      <w:r>
        <w:rPr>
          <w:rFonts w:hint="eastAsia" w:asciiTheme="majorEastAsia" w:hAnsiTheme="majorEastAsia" w:eastAsiaTheme="majorEastAsia" w:cstheme="majorEastAsia"/>
          <w:i w:val="0"/>
          <w:caps w:val="0"/>
          <w:color w:val="333333"/>
          <w:spacing w:val="0"/>
          <w:sz w:val="44"/>
          <w:szCs w:val="44"/>
          <w:shd w:val="clear" w:fill="FFFFFF"/>
        </w:rPr>
        <w:t>20</w:t>
      </w:r>
      <w:r>
        <w:rPr>
          <w:rFonts w:hint="eastAsia" w:asciiTheme="majorEastAsia" w:hAnsiTheme="majorEastAsia" w:eastAsiaTheme="majorEastAsia" w:cstheme="majorEastAsia"/>
          <w:i w:val="0"/>
          <w:caps w:val="0"/>
          <w:color w:val="333333"/>
          <w:spacing w:val="0"/>
          <w:sz w:val="44"/>
          <w:szCs w:val="44"/>
          <w:shd w:val="clear" w:fill="FFFFFF"/>
          <w:lang w:val="en-US" w:eastAsia="zh-CN"/>
        </w:rPr>
        <w:t>25</w:t>
      </w:r>
      <w:r>
        <w:rPr>
          <w:rFonts w:hint="eastAsia" w:asciiTheme="majorEastAsia" w:hAnsiTheme="majorEastAsia" w:eastAsiaTheme="majorEastAsia" w:cstheme="majorEastAsia"/>
          <w:i w:val="0"/>
          <w:caps w:val="0"/>
          <w:color w:val="333333"/>
          <w:spacing w:val="0"/>
          <w:sz w:val="44"/>
          <w:szCs w:val="44"/>
          <w:shd w:val="clear" w:fill="FFFFFF"/>
        </w:rPr>
        <w:t>年政府信息公开工作年度报告</w:t>
      </w:r>
    </w:p>
    <w:p>
      <w:pPr>
        <w:keepNext w:val="0"/>
        <w:keepLines w:val="0"/>
        <w:pageBreakBefore w:val="0"/>
        <w:numPr>
          <w:numId w:val="0"/>
        </w:numPr>
        <w:kinsoku/>
        <w:wordWrap/>
        <w:overflowPunct/>
        <w:topLinePunct w:val="0"/>
        <w:autoSpaceDE/>
        <w:autoSpaceDN/>
        <w:bidi w:val="0"/>
        <w:adjustRightInd/>
        <w:snapToGrid/>
        <w:spacing w:line="540" w:lineRule="exact"/>
        <w:textAlignment w:val="auto"/>
        <w:rPr>
          <w:rFonts w:hint="eastAsia" w:ascii="黑体" w:hAnsi="黑体" w:eastAsia="黑体" w:cs="黑体"/>
          <w:b w:val="0"/>
          <w:i w:val="0"/>
          <w:caps w:val="0"/>
          <w:color w:val="212121"/>
          <w:spacing w:val="0"/>
          <w:kern w:val="0"/>
          <w:sz w:val="32"/>
          <w:szCs w:val="32"/>
          <w:shd w:val="clear" w:fill="FFFFFF"/>
          <w:lang w:val="en-US" w:eastAsia="zh-CN" w:bidi="ar"/>
        </w:rPr>
      </w:pPr>
    </w:p>
    <w:p>
      <w:pPr>
        <w:keepNext w:val="0"/>
        <w:keepLines w:val="0"/>
        <w:pageBreakBefore w:val="0"/>
        <w:widowControl w:val="0"/>
        <w:numPr>
          <w:numId w:val="0"/>
        </w:numPr>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一、总体情况</w:t>
      </w:r>
    </w:p>
    <w:p>
      <w:pPr>
        <w:pStyle w:val="3"/>
        <w:ind w:left="0" w:leftChars="0" w:firstLine="640" w:firstLineChars="200"/>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根据《中华人民共和国政府信息公开条例》（以下简称《条例》）和县委、县政府关于政府信息公开工作要求，进一步加大政府信息公开工作力度,充实公开内容,创新公开方式,拓宽公开渠道,依法依规做好信息公开工作，特编制如下报告。报告全文包括</w:t>
      </w:r>
      <w:r>
        <w:rPr>
          <w:rFonts w:hint="eastAsia" w:ascii="仿宋" w:hAnsi="仿宋" w:eastAsia="仿宋" w:cs="仿宋"/>
          <w:sz w:val="32"/>
          <w:szCs w:val="32"/>
        </w:rPr>
        <w:t>总体情况、</w:t>
      </w:r>
      <w:r>
        <w:rPr>
          <w:rFonts w:hint="eastAsia" w:ascii="仿宋" w:hAnsi="仿宋" w:eastAsia="仿宋" w:cs="仿宋"/>
          <w:sz w:val="32"/>
          <w:szCs w:val="32"/>
          <w:lang w:eastAsia="zh-CN"/>
        </w:rPr>
        <w:t>行政机关主动公开政府信息情况、行政机关收到和处理政府信息公开申请情况、因政府信息公开工作被申请行政复议和提起行政诉讼情况、政府信息公开工作存在的主要问题及改进情况、其他需要报告的事项</w:t>
      </w:r>
      <w:r>
        <w:rPr>
          <w:rFonts w:hint="eastAsia" w:ascii="仿宋" w:hAnsi="仿宋" w:eastAsia="仿宋" w:cs="仿宋"/>
          <w:b w:val="0"/>
          <w:i w:val="0"/>
          <w:caps w:val="0"/>
          <w:color w:val="212121"/>
          <w:spacing w:val="0"/>
          <w:kern w:val="0"/>
          <w:sz w:val="32"/>
          <w:szCs w:val="32"/>
          <w:shd w:val="clear" w:fill="FFFFFF"/>
          <w:lang w:val="en-US" w:eastAsia="zh-CN" w:bidi="ar"/>
        </w:rPr>
        <w:t>六部分。本年度报告中所列数据的统计期限为2025年1月1日起至2025年12月31日止。本年度报告通过县人民政府门户网站公开。如对本年度报告有任何疑问，请与平山县孟家庄镇人民政府政府信息公开办公室联系（地址：河北省石家庄市平山县孟家庄镇孟家庄村平安路6号；邮编：050406；电话：0311-82847100，电子邮箱：psmjzz＠163.com）。</w:t>
      </w:r>
    </w:p>
    <w:p>
      <w:pPr>
        <w:pStyle w:val="3"/>
        <w:ind w:left="0" w:leftChars="0" w:firstLine="640" w:firstLineChars="200"/>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过去一年，孟家庄镇人民政府信息公开工作坚持以习近平新时代中国特色社会主义思想为指导，以构建阳光政府和服务型政府为目标，深入贯彻落实《条例》等文件的相关精神，进一步加强组织领导，建立健全工作机制，突出工作重点、深化公开内容、完善公开渠道，始终将政府信息公开视作密切联系群众、提升政府公信力的关键抓手，全力推进各项工作落地见效。现将我镇2025年度政府信息公开工作报告如下：</w:t>
      </w:r>
    </w:p>
    <w:p>
      <w:pPr>
        <w:pStyle w:val="3"/>
        <w:ind w:left="0" w:leftChars="0" w:firstLine="640" w:firstLineChars="200"/>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（一）组织架构逐步完</w:t>
      </w:r>
      <w:bookmarkStart w:id="0" w:name="_GoBack"/>
      <w:bookmarkEnd w:id="0"/>
      <w:r>
        <w:rPr>
          <w:rFonts w:hint="eastAsia" w:ascii="仿宋" w:hAnsi="仿宋" w:eastAsia="仿宋" w:cs="仿宋"/>
          <w:b w:val="0"/>
          <w:i w:val="0"/>
          <w:caps w:val="0"/>
          <w:color w:val="212121"/>
          <w:spacing w:val="0"/>
          <w:kern w:val="0"/>
          <w:sz w:val="32"/>
          <w:szCs w:val="32"/>
          <w:shd w:val="clear" w:fill="FFFFFF"/>
          <w:lang w:val="en-US" w:eastAsia="zh-CN" w:bidi="ar"/>
        </w:rPr>
        <w:t>善。成立了以党委书记为组长、镇长为副组长、全体班子成员为成员的政府信息公开工作领导小组，办公室设在镇政府党政办，明确职责分工，形成了“一把手”负总责、分管领导具体抓、办公室协调推进、委室各司其职的工作格局，为信息公开工作筑牢组织根基。</w:t>
      </w:r>
    </w:p>
    <w:p>
      <w:pPr>
        <w:pStyle w:val="3"/>
        <w:ind w:left="0" w:leftChars="0" w:firstLine="640" w:firstLineChars="200"/>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（二）制度体系不断健全。规范了信息发布流程，涵盖信息采集、审核、发布、归档等环节，明确要求各委室严格执行“三审制”，确保信息的准确性、及时性与安全性。</w:t>
      </w:r>
    </w:p>
    <w:p>
      <w:pPr>
        <w:pStyle w:val="3"/>
        <w:ind w:left="0" w:leftChars="0" w:firstLine="640" w:firstLineChars="200"/>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仿宋" w:hAnsi="仿宋" w:eastAsia="仿宋" w:cs="仿宋"/>
          <w:b w:val="0"/>
          <w:i w:val="0"/>
          <w:caps w:val="0"/>
          <w:color w:val="212121"/>
          <w:spacing w:val="0"/>
          <w:kern w:val="0"/>
          <w:sz w:val="32"/>
          <w:szCs w:val="32"/>
          <w:shd w:val="clear" w:fill="FFFFFF"/>
          <w:lang w:val="en-US" w:eastAsia="zh-CN" w:bidi="ar"/>
        </w:rPr>
        <w:t>（三）平台建设持续优化。充分发挥政府网站信息公开“主阵地”作用，对网站栏目进行优化整合，方便群众查询浏览。</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二、主动公开政府信息情况</w:t>
      </w:r>
    </w:p>
    <w:tbl>
      <w:tblPr>
        <w:tblStyle w:val="6"/>
        <w:tblW w:w="84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2130"/>
        <w:gridCol w:w="885"/>
        <w:gridCol w:w="165"/>
        <w:gridCol w:w="1740"/>
        <w:gridCol w:w="1485"/>
        <w:gridCol w:w="205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single" w:color="auto" w:sz="6" w:space="0"/>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第二十条第（一）项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1905" w:type="dxa"/>
            <w:gridSpan w:val="2"/>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本年制发件数</w:t>
            </w:r>
          </w:p>
        </w:tc>
        <w:tc>
          <w:tcPr>
            <w:tcW w:w="1485" w:type="dxa"/>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本年废止件数</w:t>
            </w:r>
          </w:p>
        </w:tc>
        <w:tc>
          <w:tcPr>
            <w:tcW w:w="2053" w:type="dxa"/>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现行有效件数</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规章</w:t>
            </w:r>
          </w:p>
        </w:tc>
        <w:tc>
          <w:tcPr>
            <w:tcW w:w="1905" w:type="dxa"/>
            <w:gridSpan w:val="2"/>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1485"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规范性文件</w:t>
            </w:r>
          </w:p>
        </w:tc>
        <w:tc>
          <w:tcPr>
            <w:tcW w:w="1905" w:type="dxa"/>
            <w:gridSpan w:val="2"/>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1485"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第二十条第（五）项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180" w:type="dxa"/>
            <w:gridSpan w:val="3"/>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5278" w:type="dxa"/>
            <w:gridSpan w:val="3"/>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17" w:hRule="atLeast"/>
        </w:trPr>
        <w:tc>
          <w:tcPr>
            <w:tcW w:w="3180" w:type="dxa"/>
            <w:gridSpan w:val="3"/>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行政许可</w:t>
            </w:r>
          </w:p>
        </w:tc>
        <w:tc>
          <w:tcPr>
            <w:tcW w:w="5278" w:type="dxa"/>
            <w:gridSpan w:val="3"/>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cs="宋体"/>
                <w:sz w:val="18"/>
                <w:szCs w:val="18"/>
                <w:lang w:val="en-US" w:eastAsia="zh-CN"/>
              </w:rPr>
              <w:t>15</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第二十条第（六）项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行政处罚</w:t>
            </w:r>
          </w:p>
        </w:tc>
        <w:tc>
          <w:tcPr>
            <w:tcW w:w="6328" w:type="dxa"/>
            <w:gridSpan w:val="5"/>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行政强制</w:t>
            </w:r>
          </w:p>
        </w:tc>
        <w:tc>
          <w:tcPr>
            <w:tcW w:w="6328" w:type="dxa"/>
            <w:gridSpan w:val="5"/>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第二十条第（八）项</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本年收费金额（单位：万元）</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行政事业性收费</w:t>
            </w:r>
          </w:p>
        </w:tc>
        <w:tc>
          <w:tcPr>
            <w:tcW w:w="6328" w:type="dxa"/>
            <w:gridSpan w:val="5"/>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bl>
    <w:p>
      <w:pPr>
        <w:pStyle w:val="3"/>
        <w:ind w:left="0" w:leftChars="0" w:firstLine="0" w:firstLineChars="0"/>
        <w:rPr>
          <w:rFonts w:hint="eastAsia"/>
          <w:sz w:val="32"/>
          <w:szCs w:val="32"/>
          <w:lang w:val="en-US" w:eastAsia="zh-CN"/>
        </w:rPr>
      </w:pPr>
    </w:p>
    <w:p>
      <w:pPr>
        <w:numPr>
          <w:numId w:val="0"/>
        </w:numPr>
        <w:ind w:leftChars="200"/>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三、收到和处理政府信息公开申请情况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Layout w:type="fixed"/>
        <w:tblCellMar>
          <w:top w:w="15" w:type="dxa"/>
          <w:left w:w="15" w:type="dxa"/>
          <w:bottom w:w="15" w:type="dxa"/>
          <w:right w:w="15" w:type="dxa"/>
        </w:tblCellMar>
      </w:tblPr>
      <w:tblGrid>
        <w:gridCol w:w="716"/>
        <w:gridCol w:w="880"/>
        <w:gridCol w:w="2507"/>
        <w:gridCol w:w="785"/>
        <w:gridCol w:w="703"/>
        <w:gridCol w:w="703"/>
        <w:gridCol w:w="900"/>
        <w:gridCol w:w="900"/>
        <w:gridCol w:w="434"/>
        <w:gridCol w:w="5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restart"/>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（本列数据的勾稽关系为：第一项加第二项之和，等于第三项加第四项之和）</w:t>
            </w:r>
          </w:p>
        </w:tc>
        <w:tc>
          <w:tcPr>
            <w:tcW w:w="4968" w:type="dxa"/>
            <w:gridSpan w:val="7"/>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785" w:type="dxa"/>
            <w:vMerge w:val="restart"/>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自然人</w:t>
            </w:r>
          </w:p>
        </w:tc>
        <w:tc>
          <w:tcPr>
            <w:tcW w:w="3640" w:type="dxa"/>
            <w:gridSpan w:val="5"/>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785" w:type="dxa"/>
            <w:vMerge w:val="continue"/>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商业企业</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科研机构</w:t>
            </w:r>
          </w:p>
        </w:tc>
        <w:tc>
          <w:tcPr>
            <w:tcW w:w="900"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社会公益组织</w:t>
            </w:r>
          </w:p>
        </w:tc>
        <w:tc>
          <w:tcPr>
            <w:tcW w:w="900"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法律服务机构</w:t>
            </w:r>
          </w:p>
        </w:tc>
        <w:tc>
          <w:tcPr>
            <w:tcW w:w="434"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tc>
        <w:tc>
          <w:tcPr>
            <w:tcW w:w="543" w:type="dxa"/>
            <w:vMerge w:val="continue"/>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一、本年新收政府信息公开申请数量</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二、上年结转政府信息公开申请数量</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restart"/>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三、本年度办理结果</w:t>
            </w:r>
          </w:p>
        </w:tc>
        <w:tc>
          <w:tcPr>
            <w:tcW w:w="3387" w:type="dxa"/>
            <w:gridSpan w:val="2"/>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（一）予</w:t>
            </w:r>
            <w:r>
              <w:rPr>
                <w:rFonts w:hint="eastAsia" w:ascii="宋体" w:hAnsi="宋体" w:cs="宋体"/>
                <w:sz w:val="18"/>
                <w:szCs w:val="18"/>
                <w:lang w:val="en-US" w:eastAsia="zh-CN"/>
              </w:rPr>
              <w:t>以</w:t>
            </w:r>
            <w:r>
              <w:rPr>
                <w:rFonts w:hint="eastAsia" w:ascii="宋体" w:hAnsi="宋体" w:eastAsia="宋体" w:cs="宋体"/>
                <w:sz w:val="18"/>
                <w:szCs w:val="18"/>
                <w:lang w:val="en-US" w:eastAsia="zh-CN"/>
              </w:rPr>
              <w:t>公开</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3387" w:type="dxa"/>
            <w:gridSpan w:val="2"/>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（二）部分公开（区分处理的，只计这一情形，不计其他情形）</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公开</w:t>
            </w: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1.属于国家秘密</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其他法律行政法规禁止公开</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8" w:space="0"/>
              <w:left w:val="single" w:color="auto" w:sz="8" w:space="0"/>
              <w:bottom w:val="single" w:color="auto" w:sz="4"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3.危及“三安全一稳定”</w:t>
            </w:r>
          </w:p>
        </w:tc>
        <w:tc>
          <w:tcPr>
            <w:tcW w:w="785" w:type="dxa"/>
            <w:tcBorders>
              <w:top w:val="nil"/>
              <w:left w:val="nil"/>
              <w:bottom w:val="single" w:color="auto" w:sz="4"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4"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4"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4"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4"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4"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4"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4.保护第三方合法权益</w:t>
            </w:r>
          </w:p>
        </w:tc>
        <w:tc>
          <w:tcPr>
            <w:tcW w:w="785"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5.属于三类内部事务信息</w:t>
            </w:r>
          </w:p>
        </w:tc>
        <w:tc>
          <w:tcPr>
            <w:tcW w:w="785"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4" w:space="0"/>
              <w:left w:val="single" w:color="auto" w:sz="4" w:space="0"/>
              <w:bottom w:val="single" w:color="auto" w:sz="4" w:space="0"/>
              <w:right w:val="single" w:color="auto" w:sz="4"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4"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6.属于四类过程性信息</w:t>
            </w:r>
          </w:p>
        </w:tc>
        <w:tc>
          <w:tcPr>
            <w:tcW w:w="785" w:type="dxa"/>
            <w:tcBorders>
              <w:top w:val="single" w:color="auto" w:sz="4"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single" w:color="auto" w:sz="4"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single" w:color="auto" w:sz="4"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single" w:color="auto" w:sz="4"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single" w:color="auto" w:sz="4"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single" w:color="auto" w:sz="4"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4"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7.属于行政执法案卷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8.属于行政查询事项</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无法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提供</w:t>
            </w: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本机关不掌握相关政府</w:t>
            </w:r>
          </w:p>
          <w:p>
            <w:pPr>
              <w:pStyle w:val="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Chars="0" w:right="0" w:right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2.没有现成信息需要另行制作</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3.补正后申请内容仍不明确</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（五）</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1.信访举报投诉类申请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2.重复申请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3.要求提供公开出版物</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4.无正当理由大量反复申请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5.要求行政机关确认或重新出具已获取信息</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（六）</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1.申请人无正当理由逾期不补正、行政机关不再处理其政府信息公开申请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single" w:color="auto" w:sz="8" w:space="0"/>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single" w:color="auto" w:sz="8" w:space="0"/>
              <w:left w:val="nil"/>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p>
        </w:tc>
        <w:tc>
          <w:tcPr>
            <w:tcW w:w="2507" w:type="dxa"/>
            <w:tcBorders>
              <w:top w:val="single" w:color="auto" w:sz="8" w:space="0"/>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2.申请人逾期未按收费通知要求缴纳费用、行政机关不再处理其政府信息公开申请</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3.其他</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（七）总计</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四、结转下年度继续办理</w:t>
            </w:r>
          </w:p>
        </w:tc>
        <w:tc>
          <w:tcPr>
            <w:tcW w:w="785"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FFFFFF" w:themeFill="background1"/>
            <w:tcMar>
              <w:top w:w="0" w:type="dxa"/>
              <w:left w:w="108" w:type="dxa"/>
              <w:bottom w:w="0" w:type="dxa"/>
              <w:right w:w="108" w:type="dxa"/>
            </w:tcMar>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bl>
    <w:p>
      <w:pPr>
        <w:pStyle w:val="3"/>
        <w:rPr>
          <w:rFonts w:hint="eastAsia"/>
          <w:lang w:val="en-US" w:eastAsia="zh-CN"/>
        </w:rPr>
      </w:pPr>
    </w:p>
    <w:p>
      <w:pPr>
        <w:pStyle w:val="3"/>
        <w:ind w:left="0" w:leftChars="0" w:firstLine="0" w:firstLineChars="0"/>
        <w:rPr>
          <w:rFonts w:hint="eastAsia"/>
          <w:lang w:val="en-US" w:eastAsia="zh-CN"/>
        </w:rPr>
      </w:pPr>
    </w:p>
    <w:p>
      <w:pPr>
        <w:numPr>
          <w:numId w:val="0"/>
        </w:numPr>
        <w:ind w:leftChars="200"/>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四、政府信息公开行政复议、行政诉讼情况</w:t>
      </w:r>
    </w:p>
    <w:tbl>
      <w:tblPr>
        <w:tblStyle w:val="6"/>
        <w:tblW w:w="86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40"/>
        <w:gridCol w:w="540"/>
        <w:gridCol w:w="495"/>
        <w:gridCol w:w="549"/>
        <w:gridCol w:w="548"/>
        <w:gridCol w:w="682"/>
        <w:gridCol w:w="600"/>
        <w:gridCol w:w="600"/>
        <w:gridCol w:w="600"/>
        <w:gridCol w:w="503"/>
        <w:gridCol w:w="712"/>
        <w:gridCol w:w="600"/>
        <w:gridCol w:w="600"/>
        <w:gridCol w:w="600"/>
        <w:gridCol w:w="47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2672" w:type="dxa"/>
            <w:gridSpan w:val="5"/>
            <w:tcBorders>
              <w:top w:val="single" w:color="auto" w:sz="6" w:space="0"/>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行政复议</w:t>
            </w:r>
          </w:p>
        </w:tc>
        <w:tc>
          <w:tcPr>
            <w:tcW w:w="5970" w:type="dxa"/>
            <w:gridSpan w:val="10"/>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40" w:type="dxa"/>
            <w:vMerge w:val="restart"/>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结果维持</w:t>
            </w:r>
          </w:p>
        </w:tc>
        <w:tc>
          <w:tcPr>
            <w:tcW w:w="540" w:type="dxa"/>
            <w:vMerge w:val="restart"/>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结果纠正</w:t>
            </w:r>
          </w:p>
        </w:tc>
        <w:tc>
          <w:tcPr>
            <w:tcW w:w="495" w:type="dxa"/>
            <w:vMerge w:val="restart"/>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其他结果</w:t>
            </w:r>
          </w:p>
        </w:tc>
        <w:tc>
          <w:tcPr>
            <w:tcW w:w="549" w:type="dxa"/>
            <w:vMerge w:val="restart"/>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尚未审结</w:t>
            </w:r>
          </w:p>
        </w:tc>
        <w:tc>
          <w:tcPr>
            <w:tcW w:w="548" w:type="dxa"/>
            <w:vMerge w:val="restart"/>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2985" w:type="dxa"/>
            <w:gridSpan w:val="5"/>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未经复议直接起诉</w:t>
            </w:r>
          </w:p>
        </w:tc>
        <w:tc>
          <w:tcPr>
            <w:tcW w:w="2985" w:type="dxa"/>
            <w:gridSpan w:val="5"/>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vMerge w:val="continue"/>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540" w:type="dxa"/>
            <w:vMerge w:val="continue"/>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495" w:type="dxa"/>
            <w:vMerge w:val="continue"/>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549" w:type="dxa"/>
            <w:vMerge w:val="continue"/>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548" w:type="dxa"/>
            <w:vMerge w:val="continue"/>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682"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503" w:type="dxa"/>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712" w:type="dxa"/>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473" w:type="dxa"/>
            <w:tcBorders>
              <w:top w:val="single" w:color="auto" w:sz="6" w:space="0"/>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tcBorders>
              <w:top w:val="nil"/>
              <w:left w:val="single" w:color="auto" w:sz="6" w:space="0"/>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0"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95"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9"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8"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82"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03"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12"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600"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73" w:type="dxa"/>
            <w:tcBorders>
              <w:top w:val="nil"/>
              <w:left w:val="nil"/>
              <w:bottom w:val="single" w:color="auto" w:sz="6" w:space="0"/>
              <w:right w:val="single" w:color="auto" w:sz="6" w:space="0"/>
            </w:tcBorders>
            <w:shd w:val="clear" w:color="auto" w:fill="auto"/>
            <w:vAlign w:val="center"/>
          </w:tcPr>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bl>
    <w:p>
      <w:pPr>
        <w:pStyle w:val="3"/>
        <w:ind w:left="0" w:leftChars="0" w:firstLine="0" w:firstLineChars="0"/>
        <w:rPr>
          <w:rFonts w:hint="eastAsia"/>
          <w:lang w:val="en-US" w:eastAsia="zh-CN"/>
        </w:rPr>
      </w:pPr>
    </w:p>
    <w:p>
      <w:pPr>
        <w:keepNext w:val="0"/>
        <w:keepLines w:val="0"/>
        <w:pageBreakBefore w:val="0"/>
        <w:widowControl w:val="0"/>
        <w:numPr>
          <w:numId w:val="0"/>
        </w:numPr>
        <w:kinsoku/>
        <w:wordWrap/>
        <w:overflowPunct/>
        <w:topLinePunct w:val="0"/>
        <w:autoSpaceDE/>
        <w:autoSpaceDN/>
        <w:bidi w:val="0"/>
        <w:adjustRightInd/>
        <w:snapToGrid/>
        <w:spacing w:line="520" w:lineRule="exact"/>
        <w:ind w:left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五、存在的主要问题及改进情况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150" w:beforeAutospacing="0" w:after="150" w:afterAutospacing="0" w:line="560" w:lineRule="exact"/>
        <w:ind w:right="0" w:firstLine="640" w:firstLineChars="200"/>
        <w:jc w:val="both"/>
        <w:textAlignment w:val="auto"/>
        <w:outlineLvl w:val="9"/>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shd w:val="clear" w:color="auto" w:fill="FFFFFF"/>
          <w:lang w:eastAsia="zh-CN"/>
        </w:rPr>
        <w:t>2025</w:t>
      </w:r>
      <w:r>
        <w:rPr>
          <w:rFonts w:hint="eastAsia" w:ascii="仿宋" w:hAnsi="仿宋" w:eastAsia="仿宋" w:cs="仿宋"/>
          <w:i w:val="0"/>
          <w:iCs w:val="0"/>
          <w:caps w:val="0"/>
          <w:color w:val="333333"/>
          <w:spacing w:val="0"/>
          <w:sz w:val="32"/>
          <w:szCs w:val="32"/>
          <w:shd w:val="clear" w:color="auto" w:fill="FFFFFF"/>
        </w:rPr>
        <w:t>年以来，</w:t>
      </w:r>
      <w:r>
        <w:rPr>
          <w:rFonts w:hint="eastAsia" w:ascii="仿宋" w:hAnsi="仿宋" w:eastAsia="仿宋" w:cs="仿宋"/>
          <w:i w:val="0"/>
          <w:iCs w:val="0"/>
          <w:caps w:val="0"/>
          <w:color w:val="333333"/>
          <w:spacing w:val="0"/>
          <w:sz w:val="32"/>
          <w:szCs w:val="32"/>
          <w:shd w:val="clear" w:color="auto" w:fill="FFFFFF"/>
          <w:lang w:val="en-US" w:eastAsia="zh-CN"/>
        </w:rPr>
        <w:t>我镇</w:t>
      </w:r>
      <w:r>
        <w:rPr>
          <w:rFonts w:hint="eastAsia" w:ascii="仿宋" w:hAnsi="仿宋" w:eastAsia="仿宋" w:cs="仿宋"/>
          <w:i w:val="0"/>
          <w:iCs w:val="0"/>
          <w:caps w:val="0"/>
          <w:color w:val="333333"/>
          <w:spacing w:val="0"/>
          <w:sz w:val="32"/>
          <w:szCs w:val="32"/>
          <w:shd w:val="clear" w:color="auto" w:fill="FFFFFF"/>
        </w:rPr>
        <w:t>政府开展政府信息公开工作虽取得初步成效,但同时也存在一些问题</w:t>
      </w:r>
      <w:r>
        <w:rPr>
          <w:rFonts w:hint="eastAsia" w:ascii="仿宋" w:hAnsi="仿宋" w:eastAsia="仿宋" w:cs="仿宋"/>
          <w:i w:val="0"/>
          <w:iCs w:val="0"/>
          <w:caps w:val="0"/>
          <w:color w:val="333333"/>
          <w:spacing w:val="0"/>
          <w:sz w:val="32"/>
          <w:szCs w:val="32"/>
          <w:shd w:val="clear" w:color="auto" w:fill="FFFFFF"/>
          <w:lang w:eastAsia="zh-CN"/>
        </w:rPr>
        <w:t>。如部分信息公开内容的深度和广度还不够，解读形式比较单一，主动公开的意识还需要进一步提高等。</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150" w:beforeAutospacing="0" w:after="150" w:afterAutospacing="0" w:line="560" w:lineRule="exact"/>
        <w:ind w:right="0" w:firstLine="640" w:firstLineChars="200"/>
        <w:jc w:val="both"/>
        <w:outlineLvl w:val="9"/>
        <w:rPr>
          <w:rFonts w:hint="eastAsia"/>
          <w:lang w:val="en-US" w:eastAsia="zh-CN"/>
        </w:rPr>
      </w:pPr>
      <w:r>
        <w:rPr>
          <w:rFonts w:hint="eastAsia" w:ascii="仿宋" w:hAnsi="仿宋" w:eastAsia="仿宋" w:cs="仿宋"/>
          <w:i w:val="0"/>
          <w:iCs w:val="0"/>
          <w:caps w:val="0"/>
          <w:color w:val="333333"/>
          <w:spacing w:val="0"/>
          <w:sz w:val="32"/>
          <w:szCs w:val="32"/>
          <w:shd w:val="clear" w:color="auto" w:fill="FFFFFF"/>
        </w:rPr>
        <w:t>下一步，</w:t>
      </w:r>
      <w:r>
        <w:rPr>
          <w:rFonts w:hint="eastAsia" w:ascii="仿宋" w:hAnsi="仿宋" w:eastAsia="仿宋" w:cs="仿宋"/>
          <w:i w:val="0"/>
          <w:iCs w:val="0"/>
          <w:caps w:val="0"/>
          <w:color w:val="333333"/>
          <w:spacing w:val="0"/>
          <w:sz w:val="32"/>
          <w:szCs w:val="32"/>
          <w:shd w:val="clear" w:color="auto" w:fill="FFFFFF"/>
          <w:lang w:eastAsia="zh-CN"/>
        </w:rPr>
        <w:t>我</w:t>
      </w:r>
      <w:r>
        <w:rPr>
          <w:rFonts w:hint="eastAsia" w:ascii="仿宋" w:hAnsi="仿宋" w:eastAsia="仿宋" w:cs="仿宋"/>
          <w:i w:val="0"/>
          <w:iCs w:val="0"/>
          <w:caps w:val="0"/>
          <w:color w:val="333333"/>
          <w:spacing w:val="0"/>
          <w:sz w:val="32"/>
          <w:szCs w:val="32"/>
          <w:shd w:val="clear" w:color="auto" w:fill="FFFFFF"/>
          <w:lang w:val="en-US" w:eastAsia="zh-CN"/>
        </w:rPr>
        <w:t>镇</w:t>
      </w:r>
      <w:r>
        <w:rPr>
          <w:rFonts w:hint="eastAsia" w:ascii="仿宋" w:hAnsi="仿宋" w:eastAsia="仿宋" w:cs="仿宋"/>
          <w:i w:val="0"/>
          <w:iCs w:val="0"/>
          <w:caps w:val="0"/>
          <w:color w:val="333333"/>
          <w:spacing w:val="0"/>
          <w:sz w:val="32"/>
          <w:szCs w:val="32"/>
          <w:shd w:val="clear" w:color="auto" w:fill="FFFFFF"/>
        </w:rPr>
        <w:t>将继续严格按照政府信息公开、政务公开的各项要求和目标，依托统一的政府网站，不断完善政府信息公开的内容，进一步拓展信息公开的深度和广度，丰富解读形式，提高政策解读的质量和效果，采用图文并茂、案例分析等多种形式提升解读效果</w:t>
      </w:r>
      <w:r>
        <w:rPr>
          <w:rFonts w:hint="eastAsia" w:ascii="仿宋" w:hAnsi="仿宋" w:eastAsia="仿宋" w:cs="仿宋"/>
          <w:i w:val="0"/>
          <w:iCs w:val="0"/>
          <w:caps w:val="0"/>
          <w:color w:val="333333"/>
          <w:spacing w:val="0"/>
          <w:sz w:val="32"/>
          <w:szCs w:val="32"/>
          <w:shd w:val="clear" w:color="auto" w:fill="FFFFFF"/>
          <w:lang w:eastAsia="zh-CN"/>
        </w:rPr>
        <w:t>，</w:t>
      </w:r>
      <w:r>
        <w:rPr>
          <w:rFonts w:hint="eastAsia" w:ascii="仿宋" w:hAnsi="仿宋" w:eastAsia="仿宋" w:cs="仿宋"/>
          <w:i w:val="0"/>
          <w:iCs w:val="0"/>
          <w:caps w:val="0"/>
          <w:color w:val="333333"/>
          <w:spacing w:val="0"/>
          <w:sz w:val="32"/>
          <w:szCs w:val="32"/>
          <w:shd w:val="clear" w:color="auto" w:fill="FFFFFF"/>
        </w:rPr>
        <w:t>加强对工作人员的培训和考核</w:t>
      </w:r>
      <w:r>
        <w:rPr>
          <w:rFonts w:hint="eastAsia" w:ascii="仿宋" w:hAnsi="仿宋" w:eastAsia="仿宋" w:cs="仿宋"/>
          <w:i w:val="0"/>
          <w:iCs w:val="0"/>
          <w:caps w:val="0"/>
          <w:color w:val="333333"/>
          <w:spacing w:val="0"/>
          <w:sz w:val="32"/>
          <w:szCs w:val="32"/>
          <w:shd w:val="clear" w:color="auto" w:fill="FFFFFF"/>
          <w:lang w:eastAsia="zh-CN"/>
        </w:rPr>
        <w:t>。</w:t>
      </w:r>
      <w:r>
        <w:rPr>
          <w:rFonts w:hint="eastAsia" w:ascii="仿宋" w:hAnsi="仿宋" w:eastAsia="仿宋" w:cs="仿宋"/>
          <w:i w:val="0"/>
          <w:iCs w:val="0"/>
          <w:caps w:val="0"/>
          <w:color w:val="333333"/>
          <w:spacing w:val="0"/>
          <w:sz w:val="32"/>
          <w:szCs w:val="32"/>
          <w:shd w:val="clear" w:color="auto" w:fill="FFFFFF"/>
        </w:rPr>
        <w:t>提高主动公开的意识和能力等。</w:t>
      </w:r>
      <w:r>
        <w:rPr>
          <w:rFonts w:hint="eastAsia" w:ascii="仿宋" w:hAnsi="仿宋" w:eastAsia="仿宋" w:cs="仿宋"/>
          <w:i w:val="0"/>
          <w:iCs w:val="0"/>
          <w:caps w:val="0"/>
          <w:color w:val="333333"/>
          <w:spacing w:val="0"/>
          <w:sz w:val="32"/>
          <w:szCs w:val="32"/>
          <w:shd w:val="clear" w:color="auto" w:fill="FFFFFF"/>
          <w:lang w:eastAsia="zh-CN"/>
        </w:rPr>
        <w:t>同时</w:t>
      </w:r>
      <w:r>
        <w:rPr>
          <w:rFonts w:hint="eastAsia" w:ascii="仿宋" w:hAnsi="仿宋" w:eastAsia="仿宋" w:cs="仿宋"/>
          <w:i w:val="0"/>
          <w:iCs w:val="0"/>
          <w:caps w:val="0"/>
          <w:color w:val="333333"/>
          <w:spacing w:val="0"/>
          <w:sz w:val="32"/>
          <w:szCs w:val="32"/>
          <w:shd w:val="clear" w:color="auto" w:fill="FFFFFF"/>
        </w:rPr>
        <w:t>加强信息保密审查，安排专人负责信息公开工作，在公开信息前进行信息公开保密审查，确保信息公开的真实、安全。</w:t>
      </w:r>
    </w:p>
    <w:p>
      <w:pPr>
        <w:keepNext w:val="0"/>
        <w:keepLines w:val="0"/>
        <w:pageBreakBefore w:val="0"/>
        <w:widowControl w:val="0"/>
        <w:numPr>
          <w:numId w:val="0"/>
        </w:numPr>
        <w:kinsoku/>
        <w:wordWrap/>
        <w:overflowPunct/>
        <w:topLinePunct w:val="0"/>
        <w:autoSpaceDE/>
        <w:autoSpaceDN/>
        <w:bidi w:val="0"/>
        <w:adjustRightInd/>
        <w:snapToGrid/>
        <w:spacing w:line="520" w:lineRule="exact"/>
        <w:ind w:left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六、其他需要报告的事项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default"/>
          <w:lang w:val="en-US" w:eastAsia="zh-CN"/>
        </w:rPr>
      </w:pPr>
      <w:r>
        <w:rPr>
          <w:rFonts w:hint="eastAsia" w:ascii="仿宋" w:hAnsi="仿宋" w:eastAsia="仿宋" w:cs="仿宋"/>
          <w:b w:val="0"/>
          <w:i w:val="0"/>
          <w:caps w:val="0"/>
          <w:color w:val="212121"/>
          <w:spacing w:val="0"/>
          <w:kern w:val="0"/>
          <w:sz w:val="32"/>
          <w:szCs w:val="32"/>
          <w:shd w:val="clear" w:fill="FFFFFF"/>
          <w:lang w:val="en-US" w:eastAsia="zh-CN" w:bidi="ar"/>
        </w:rPr>
        <w:t>无</w:t>
      </w:r>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黑体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方正隶书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auto"/>
    <w:pitch w:val="default"/>
    <w:sig w:usb0="A00002BF" w:usb1="38CF7CFA" w:usb2="00082016" w:usb3="00000000" w:csb0="00040001" w:csb1="00000000"/>
  </w:font>
  <w:font w:name="方正隶书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Malgun Gothic">
    <w:panose1 w:val="020B0503020000020004"/>
    <w:charset w:val="81"/>
    <w:family w:val="auto"/>
    <w:pitch w:val="default"/>
    <w:sig w:usb0="9000002F" w:usb1="29D77CFB" w:usb2="00000012" w:usb3="00000000" w:csb0="00080001" w:csb1="00000000"/>
  </w:font>
  <w:font w:name="方正楷体_GBK">
    <w:panose1 w:val="02000000000000000000"/>
    <w:charset w:val="86"/>
    <w:family w:val="auto"/>
    <w:pitch w:val="default"/>
    <w:sig w:usb0="A00002BF" w:usb1="38CF7CFA" w:usb2="00082016" w:usb3="00000000" w:csb0="00040001" w:csb1="00000000"/>
  </w:font>
  <w:font w:name="Calibri Light">
    <w:panose1 w:val="020F0302020204030204"/>
    <w:charset w:val="00"/>
    <w:family w:val="auto"/>
    <w:pitch w:val="default"/>
    <w:sig w:usb0="E4002EFF" w:usb1="C000247B" w:usb2="00000009" w:usb3="00000000" w:csb0="200001FF" w:csb1="00000000"/>
  </w:font>
  <w:font w:name="方正兰亭大黑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8276766"/>
    </w:sdtPr>
    <w:sdtContent>
      <w:p>
        <w:pPr>
          <w:pStyle w:val="4"/>
          <w:jc w:val="center"/>
        </w:pPr>
        <w:r>
          <w:fldChar w:fldCharType="begin"/>
        </w:r>
        <w:r>
          <w:instrText xml:space="preserve"> PAGE   \* MERGEFORMAT </w:instrText>
        </w:r>
        <w:r>
          <w:fldChar w:fldCharType="separate"/>
        </w:r>
        <w:r>
          <w:rPr>
            <w:lang w:val="zh-CN"/>
          </w:rPr>
          <w:t>2</w:t>
        </w:r>
        <w:r>
          <w:rPr>
            <w:lang w:val="zh-CN"/>
          </w:rPr>
          <w:fldChar w:fldCharType="end"/>
        </w:r>
      </w:p>
    </w:sdtContent>
  </w:sdt>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5F8BD0"/>
    <w:multiLevelType w:val="singleLevel"/>
    <w:tmpl w:val="995F8BD0"/>
    <w:lvl w:ilvl="0" w:tentative="0">
      <w:start w:val="2"/>
      <w:numFmt w:val="decimal"/>
      <w:lvlText w:val="%1."/>
      <w:lvlJc w:val="left"/>
      <w:pPr>
        <w:tabs>
          <w:tab w:val="left" w:pos="312"/>
        </w:tabs>
      </w:pPr>
    </w:lvl>
  </w:abstractNum>
  <w:abstractNum w:abstractNumId="1">
    <w:nsid w:val="DC16339F"/>
    <w:multiLevelType w:val="singleLevel"/>
    <w:tmpl w:val="DC16339F"/>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lNDRkN2M1NmNmZjk0ZGZhZDI0ZWMzNzFiYzUzZjgifQ=="/>
  </w:docVars>
  <w:rsids>
    <w:rsidRoot w:val="0D3B4320"/>
    <w:rsid w:val="01BD2B83"/>
    <w:rsid w:val="0225733E"/>
    <w:rsid w:val="0227311A"/>
    <w:rsid w:val="027F2F56"/>
    <w:rsid w:val="04351B1E"/>
    <w:rsid w:val="07723089"/>
    <w:rsid w:val="07E3172B"/>
    <w:rsid w:val="08935065"/>
    <w:rsid w:val="094B5940"/>
    <w:rsid w:val="0955056D"/>
    <w:rsid w:val="09A03EDE"/>
    <w:rsid w:val="0A2B401C"/>
    <w:rsid w:val="0A8964F9"/>
    <w:rsid w:val="0B1F0E32"/>
    <w:rsid w:val="0C197F77"/>
    <w:rsid w:val="0C3B5596"/>
    <w:rsid w:val="0D2C7836"/>
    <w:rsid w:val="0D3B4320"/>
    <w:rsid w:val="0E211E5B"/>
    <w:rsid w:val="0E965DA3"/>
    <w:rsid w:val="0FBF704C"/>
    <w:rsid w:val="101F3682"/>
    <w:rsid w:val="106A0DA2"/>
    <w:rsid w:val="113E5D8A"/>
    <w:rsid w:val="12AD341F"/>
    <w:rsid w:val="12DF5D4E"/>
    <w:rsid w:val="13893C35"/>
    <w:rsid w:val="14D964F6"/>
    <w:rsid w:val="152A0AFF"/>
    <w:rsid w:val="15AE34DE"/>
    <w:rsid w:val="16967401"/>
    <w:rsid w:val="178E1A5E"/>
    <w:rsid w:val="19407D78"/>
    <w:rsid w:val="1CAE2016"/>
    <w:rsid w:val="1CEF0257"/>
    <w:rsid w:val="1D8A464C"/>
    <w:rsid w:val="1D9A4ADF"/>
    <w:rsid w:val="1E4744D0"/>
    <w:rsid w:val="1E562965"/>
    <w:rsid w:val="204F431C"/>
    <w:rsid w:val="210F50EB"/>
    <w:rsid w:val="2248753A"/>
    <w:rsid w:val="236253F3"/>
    <w:rsid w:val="237114CC"/>
    <w:rsid w:val="2499362A"/>
    <w:rsid w:val="25C45D79"/>
    <w:rsid w:val="26672398"/>
    <w:rsid w:val="267A740D"/>
    <w:rsid w:val="27E253DB"/>
    <w:rsid w:val="28C36E49"/>
    <w:rsid w:val="2A705300"/>
    <w:rsid w:val="2AC1560A"/>
    <w:rsid w:val="2B6428DB"/>
    <w:rsid w:val="2B731ECF"/>
    <w:rsid w:val="2BB86C14"/>
    <w:rsid w:val="2C1C51EE"/>
    <w:rsid w:val="2CFD0E66"/>
    <w:rsid w:val="2E3F3133"/>
    <w:rsid w:val="2E5F5A62"/>
    <w:rsid w:val="2F445E80"/>
    <w:rsid w:val="2FD03ECC"/>
    <w:rsid w:val="300A1801"/>
    <w:rsid w:val="305667F5"/>
    <w:rsid w:val="30F95B94"/>
    <w:rsid w:val="315076E8"/>
    <w:rsid w:val="31CD2AE7"/>
    <w:rsid w:val="31ED3189"/>
    <w:rsid w:val="320A1801"/>
    <w:rsid w:val="3455356F"/>
    <w:rsid w:val="34737D86"/>
    <w:rsid w:val="34BE3F86"/>
    <w:rsid w:val="36280C33"/>
    <w:rsid w:val="377D1894"/>
    <w:rsid w:val="386747AC"/>
    <w:rsid w:val="38991974"/>
    <w:rsid w:val="38DE390E"/>
    <w:rsid w:val="39D70A1B"/>
    <w:rsid w:val="3B5D7086"/>
    <w:rsid w:val="3BDD5E41"/>
    <w:rsid w:val="3C4425CE"/>
    <w:rsid w:val="3CA8662A"/>
    <w:rsid w:val="3CC64D02"/>
    <w:rsid w:val="3F980BD8"/>
    <w:rsid w:val="3FC03C8B"/>
    <w:rsid w:val="4162324B"/>
    <w:rsid w:val="41AC44C7"/>
    <w:rsid w:val="437D742D"/>
    <w:rsid w:val="45902D48"/>
    <w:rsid w:val="45DC5246"/>
    <w:rsid w:val="46106B0B"/>
    <w:rsid w:val="46962B28"/>
    <w:rsid w:val="46F25071"/>
    <w:rsid w:val="470B1C8F"/>
    <w:rsid w:val="475C24EB"/>
    <w:rsid w:val="47AB639C"/>
    <w:rsid w:val="480F755D"/>
    <w:rsid w:val="485D476D"/>
    <w:rsid w:val="489F35CB"/>
    <w:rsid w:val="48FA645F"/>
    <w:rsid w:val="4AF8077D"/>
    <w:rsid w:val="4B7B4106"/>
    <w:rsid w:val="4BA1204F"/>
    <w:rsid w:val="4BFE1DC3"/>
    <w:rsid w:val="4CF04E77"/>
    <w:rsid w:val="4D9D0EAF"/>
    <w:rsid w:val="4E45191F"/>
    <w:rsid w:val="4FE32D50"/>
    <w:rsid w:val="50342257"/>
    <w:rsid w:val="507E7976"/>
    <w:rsid w:val="51981B75"/>
    <w:rsid w:val="52D675F5"/>
    <w:rsid w:val="535D7D17"/>
    <w:rsid w:val="53C733E2"/>
    <w:rsid w:val="549A4B29"/>
    <w:rsid w:val="55650615"/>
    <w:rsid w:val="568624BB"/>
    <w:rsid w:val="57822DFA"/>
    <w:rsid w:val="5A166944"/>
    <w:rsid w:val="5A365EA0"/>
    <w:rsid w:val="5A871B1D"/>
    <w:rsid w:val="5ADB36C4"/>
    <w:rsid w:val="5B4672E2"/>
    <w:rsid w:val="5BEA524F"/>
    <w:rsid w:val="5BF60582"/>
    <w:rsid w:val="5C9200B3"/>
    <w:rsid w:val="5C9435EE"/>
    <w:rsid w:val="5E6B62B9"/>
    <w:rsid w:val="5EB44D5F"/>
    <w:rsid w:val="5F457D4A"/>
    <w:rsid w:val="5F5253A3"/>
    <w:rsid w:val="5FAB5E9D"/>
    <w:rsid w:val="5FFE63DD"/>
    <w:rsid w:val="635E2806"/>
    <w:rsid w:val="63740256"/>
    <w:rsid w:val="637C5F97"/>
    <w:rsid w:val="63F91396"/>
    <w:rsid w:val="65BB0246"/>
    <w:rsid w:val="686F60CA"/>
    <w:rsid w:val="68C16B42"/>
    <w:rsid w:val="69C27E0B"/>
    <w:rsid w:val="6AE12B83"/>
    <w:rsid w:val="6BD82A45"/>
    <w:rsid w:val="6CA860AF"/>
    <w:rsid w:val="6CF52916"/>
    <w:rsid w:val="6D671DC2"/>
    <w:rsid w:val="6DEE183F"/>
    <w:rsid w:val="6E40104F"/>
    <w:rsid w:val="6E6A638C"/>
    <w:rsid w:val="6F340B5E"/>
    <w:rsid w:val="705306E0"/>
    <w:rsid w:val="7260066E"/>
    <w:rsid w:val="728D3298"/>
    <w:rsid w:val="72AB41A3"/>
    <w:rsid w:val="74361D15"/>
    <w:rsid w:val="74E57319"/>
    <w:rsid w:val="74E7523A"/>
    <w:rsid w:val="750000AA"/>
    <w:rsid w:val="751175EA"/>
    <w:rsid w:val="75676978"/>
    <w:rsid w:val="77652C48"/>
    <w:rsid w:val="779C40BA"/>
    <w:rsid w:val="77C8682A"/>
    <w:rsid w:val="78104AA8"/>
    <w:rsid w:val="7860505A"/>
    <w:rsid w:val="78941235"/>
    <w:rsid w:val="78F7232E"/>
    <w:rsid w:val="79E61F64"/>
    <w:rsid w:val="7B5573A2"/>
    <w:rsid w:val="7BA73B1C"/>
    <w:rsid w:val="7BFE3580"/>
    <w:rsid w:val="7D282247"/>
    <w:rsid w:val="7D6E64F9"/>
    <w:rsid w:val="7D9F4904"/>
    <w:rsid w:val="7DCB6DBB"/>
    <w:rsid w:val="7EA45133"/>
    <w:rsid w:val="7EA733A9"/>
    <w:rsid w:val="7EC643E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pPr>
    <w:rPr>
      <w:rFonts w:ascii="等线 Light" w:hAnsi="等线 Light" w:eastAsia="等线 Light" w:cs="Times New Roman"/>
      <w:b/>
      <w:bCs/>
      <w:sz w:val="32"/>
      <w:szCs w:val="32"/>
    </w:rPr>
  </w:style>
  <w:style w:type="paragraph" w:styleId="3">
    <w:name w:val="Normal Indent"/>
    <w:basedOn w:val="1"/>
    <w:qFormat/>
    <w:uiPriority w:val="0"/>
    <w:pPr>
      <w:ind w:firstLine="420" w:firstLineChars="200"/>
    </w:p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1736</Words>
  <Characters>1842</Characters>
  <Lines>0</Lines>
  <Paragraphs>0</Paragraphs>
  <TotalTime>14</TotalTime>
  <ScaleCrop>false</ScaleCrop>
  <LinksUpToDate>false</LinksUpToDate>
  <CharactersWithSpaces>1890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2021-01-19T10:36:00Z</dcterms:created>
  <dc:creator>Administrator</dc:creator>
  <cp:lastModifiedBy>萌萌哒的小坏蛋</cp:lastModifiedBy>
  <cp:lastPrinted>2026-01-14T08:07:24Z</cp:lastPrinted>
  <dcterms:modified xsi:type="dcterms:W3CDTF">2026-01-14T08:10:22Z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C685E042FFE040709CBBBC5795FAF153_13</vt:lpwstr>
  </property>
  <property fmtid="{D5CDD505-2E9C-101B-9397-08002B2CF9AE}" pid="4" name="KSOTemplateDocerSaveRecord">
    <vt:lpwstr>eyJoZGlkIjoiMzRlNDRkN2M1NmNmZjk0ZGZhZDI0ZWMzNzFiYzUzZjgifQ==</vt:lpwstr>
  </property>
</Properties>
</file>