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746F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华文中宋" w:hAnsi="华文中宋" w:eastAsia="华文中宋" w:cs="华文中宋"/>
          <w:b/>
          <w:bCs/>
          <w:snapToGrid w:val="0"/>
          <w:color w:val="FF0000"/>
          <w:spacing w:val="-3"/>
          <w:w w:val="60"/>
          <w:sz w:val="72"/>
          <w:szCs w:val="72"/>
          <w:lang w:val="en-US" w:eastAsia="zh-CN"/>
        </w:rPr>
      </w:pPr>
      <w:bookmarkStart w:id="0" w:name="TITLE"/>
    </w:p>
    <w:p w14:paraId="37374EDE">
      <w:pPr>
        <w:adjustRightInd w:val="0"/>
        <w:snapToGrid w:val="0"/>
        <w:spacing w:line="580" w:lineRule="atLeast"/>
        <w:jc w:val="both"/>
        <w:rPr>
          <w:rFonts w:hint="eastAsia" w:ascii="仿宋_GB2312" w:eastAsia="仿宋_GB2312"/>
          <w:snapToGrid w:val="0"/>
          <w:color w:val="000000"/>
          <w:spacing w:val="-4"/>
          <w:sz w:val="32"/>
          <w:szCs w:val="32"/>
          <w:lang w:eastAsia="zh-CN"/>
        </w:rPr>
      </w:pPr>
    </w:p>
    <w:p w14:paraId="04B80C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both"/>
        <w:textAlignment w:val="auto"/>
        <w:outlineLvl w:val="9"/>
        <w:rPr>
          <w:rFonts w:hint="eastAsia" w:ascii="方正小标宋_GBK" w:hAnsi="方正小标宋_GBK" w:eastAsia="方正小标宋_GBK" w:cs="方正小标宋_GBK"/>
          <w:spacing w:val="0"/>
          <w:w w:val="100"/>
          <w:sz w:val="44"/>
          <w:szCs w:val="44"/>
          <w:lang w:eastAsia="zh-CN"/>
        </w:rPr>
      </w:pPr>
    </w:p>
    <w:p w14:paraId="2C2E6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spacing w:val="0"/>
          <w:w w:val="1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0"/>
          <w:w w:val="100"/>
          <w:sz w:val="44"/>
          <w:szCs w:val="44"/>
          <w:lang w:eastAsia="zh-CN"/>
        </w:rPr>
        <w:t>关于印发《202</w:t>
      </w:r>
      <w:r>
        <w:rPr>
          <w:rFonts w:hint="eastAsia" w:ascii="方正小标宋_GBK" w:hAnsi="方正小标宋_GBK" w:eastAsia="方正小标宋_GBK" w:cs="方正小标宋_GBK"/>
          <w:spacing w:val="0"/>
          <w:w w:val="100"/>
          <w:sz w:val="44"/>
          <w:szCs w:val="44"/>
          <w:lang w:val="en-US" w:eastAsia="zh-CN"/>
        </w:rPr>
        <w:t>6</w:t>
      </w:r>
      <w:r>
        <w:rPr>
          <w:rFonts w:hint="eastAsia" w:ascii="方正小标宋_GBK" w:hAnsi="方正小标宋_GBK" w:eastAsia="方正小标宋_GBK" w:cs="方正小标宋_GBK"/>
          <w:spacing w:val="0"/>
          <w:w w:val="100"/>
          <w:sz w:val="44"/>
          <w:szCs w:val="44"/>
          <w:lang w:eastAsia="zh-CN"/>
        </w:rPr>
        <w:t>年平山县“双随机、一公开”监管工作实施方案》的通知</w:t>
      </w:r>
      <w:bookmarkEnd w:id="0"/>
    </w:p>
    <w:p w14:paraId="22DC31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outlineLvl w:val="9"/>
        <w:rPr>
          <w:rFonts w:hint="eastAsia" w:ascii="仿宋_GB2312" w:hAnsi="仿宋_GB2312" w:eastAsia="仿宋_GB2312" w:cs="仿宋_GB2312"/>
          <w:w w:val="70"/>
          <w:sz w:val="44"/>
          <w:szCs w:val="44"/>
        </w:rPr>
      </w:pPr>
    </w:p>
    <w:p w14:paraId="1CF573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outlineLvl w:val="9"/>
        <w:rPr>
          <w:rFonts w:hint="eastAsia" w:ascii="仿宋" w:hAnsi="仿宋" w:eastAsia="仿宋"/>
          <w:w w:val="70"/>
          <w:sz w:val="32"/>
          <w:szCs w:val="32"/>
        </w:rPr>
      </w:pPr>
      <w:bookmarkStart w:id="1" w:name="ZHUSONG"/>
      <w:r>
        <w:rPr>
          <w:rFonts w:hint="eastAsia" w:ascii="仿宋_GB2312" w:hAnsi="仿宋" w:eastAsia="仿宋_GB2312"/>
          <w:sz w:val="32"/>
          <w:szCs w:val="32"/>
        </w:rPr>
        <w:t>各成员单位：</w:t>
      </w:r>
      <w:bookmarkEnd w:id="1"/>
    </w:p>
    <w:p w14:paraId="36BD5A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32" w:firstLineChars="200"/>
        <w:textAlignment w:val="auto"/>
        <w:outlineLvl w:val="9"/>
        <w:rPr>
          <w:rFonts w:ascii="仿宋_GB2312" w:hAnsi="仿宋_GB2312" w:eastAsia="仿宋_GB2312" w:cs="仿宋_GB2312"/>
          <w:snapToGrid w:val="0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</w:rPr>
        <w:t>现将《</w:t>
      </w: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</w:rPr>
        <w:t>年</w:t>
      </w:r>
      <w:r>
        <w:rPr>
          <w:rFonts w:hint="eastAsia" w:ascii="仿宋_GB2312" w:hAnsi="仿宋_GB2312" w:cs="仿宋_GB2312"/>
          <w:snapToGrid w:val="0"/>
          <w:color w:val="000000"/>
          <w:sz w:val="32"/>
          <w:szCs w:val="32"/>
          <w:lang w:eastAsia="zh-CN"/>
        </w:rPr>
        <w:t>平山县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</w:rPr>
        <w:t>“双随机、一公开”监管工作实施方案》印发给你们，请结合本部门实际，认真组织实施。</w:t>
      </w:r>
    </w:p>
    <w:p w14:paraId="156613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632" w:firstLineChars="200"/>
        <w:textAlignment w:val="auto"/>
        <w:outlineLvl w:val="9"/>
        <w:rPr>
          <w:rFonts w:ascii="仿宋_GB2312" w:hAnsi="仿宋_GB2312" w:eastAsia="仿宋_GB2312" w:cs="仿宋_GB2312"/>
          <w:snapToGrid w:val="0"/>
          <w:color w:val="000000"/>
          <w:sz w:val="32"/>
          <w:szCs w:val="32"/>
        </w:rPr>
      </w:pPr>
    </w:p>
    <w:p w14:paraId="0C8099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4601" w:firstLineChars="1456"/>
        <w:jc w:val="both"/>
        <w:textAlignment w:val="auto"/>
        <w:outlineLvl w:val="9"/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</w:rPr>
      </w:pPr>
    </w:p>
    <w:p w14:paraId="3BF1AA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4601" w:firstLineChars="1456"/>
        <w:jc w:val="both"/>
        <w:textAlignment w:val="auto"/>
        <w:outlineLvl w:val="9"/>
        <w:rPr>
          <w:rFonts w:hint="eastAsia" w:ascii="仿宋_GB2312" w:hAnsi="仿宋_GB2312" w:cs="仿宋_GB2312"/>
          <w:snapToGrid w:val="0"/>
          <w:color w:val="000000"/>
          <w:sz w:val="32"/>
          <w:szCs w:val="32"/>
          <w:lang w:eastAsia="zh-CN"/>
        </w:rPr>
      </w:pPr>
    </w:p>
    <w:p w14:paraId="6CDD2C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4601" w:firstLineChars="1456"/>
        <w:jc w:val="both"/>
        <w:textAlignment w:val="auto"/>
        <w:outlineLvl w:val="9"/>
        <w:rPr>
          <w:rFonts w:ascii="仿宋_GB2312" w:hAnsi="仿宋_GB2312" w:eastAsia="仿宋_GB2312" w:cs="仿宋_GB2312"/>
          <w:snapToGrid w:val="0"/>
          <w:color w:val="000000"/>
          <w:sz w:val="32"/>
          <w:szCs w:val="32"/>
        </w:rPr>
      </w:pPr>
      <w:r>
        <w:rPr>
          <w:rFonts w:hint="eastAsia" w:ascii="仿宋_GB2312" w:hAnsi="仿宋_GB2312" w:cs="仿宋_GB2312"/>
          <w:snapToGrid w:val="0"/>
          <w:color w:val="000000"/>
          <w:sz w:val="32"/>
          <w:szCs w:val="32"/>
          <w:lang w:eastAsia="zh-CN"/>
        </w:rPr>
        <w:t>平山县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</w:rPr>
        <w:t>“双随机、一公开”</w:t>
      </w:r>
    </w:p>
    <w:p w14:paraId="412F7962">
      <w:pPr>
        <w:keepNext w:val="0"/>
        <w:keepLines w:val="0"/>
        <w:pageBreakBefore w:val="0"/>
        <w:widowControl w:val="0"/>
        <w:tabs>
          <w:tab w:val="left" w:pos="751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740" w:firstLineChars="1500"/>
        <w:jc w:val="both"/>
        <w:textAlignment w:val="auto"/>
        <w:outlineLvl w:val="9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监管工作领导小组办公室</w:t>
      </w:r>
    </w:p>
    <w:p w14:paraId="6215EBC0">
      <w:pPr>
        <w:keepNext w:val="0"/>
        <w:keepLines w:val="0"/>
        <w:pageBreakBefore w:val="0"/>
        <w:widowControl w:val="0"/>
        <w:tabs>
          <w:tab w:val="left" w:pos="7513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5202" w:firstLineChars="1646"/>
        <w:textAlignment w:val="auto"/>
        <w:outlineLvl w:val="9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/>
          <w:sz w:val="32"/>
          <w:szCs w:val="32"/>
          <w:lang w:val="en-US" w:eastAsia="zh-CN"/>
        </w:rPr>
        <w:t>6</w:t>
      </w:r>
      <w:r>
        <w:rPr>
          <w:rFonts w:hint="eastAsia" w:ascii="仿宋_GB2312" w:hAnsi="仿宋" w:eastAsia="仿宋_GB2312"/>
          <w:sz w:val="32"/>
          <w:szCs w:val="32"/>
        </w:rPr>
        <w:t>年</w:t>
      </w:r>
      <w:r>
        <w:rPr>
          <w:rFonts w:hint="eastAsia" w:ascii="仿宋_GB2312" w:hAnsi="仿宋"/>
          <w:sz w:val="32"/>
          <w:szCs w:val="32"/>
          <w:lang w:val="en-US" w:eastAsia="zh-CN"/>
        </w:rPr>
        <w:t>1</w:t>
      </w:r>
      <w:r>
        <w:rPr>
          <w:rFonts w:hint="eastAsia" w:ascii="仿宋_GB2312" w:hAnsi="仿宋" w:eastAsia="仿宋_GB2312"/>
          <w:sz w:val="32"/>
          <w:szCs w:val="32"/>
        </w:rPr>
        <w:t>月</w:t>
      </w:r>
      <w:r>
        <w:rPr>
          <w:rFonts w:hint="eastAsia" w:ascii="仿宋_GB2312" w:hAnsi="仿宋"/>
          <w:sz w:val="32"/>
          <w:szCs w:val="32"/>
          <w:lang w:val="en-US" w:eastAsia="zh-CN"/>
        </w:rPr>
        <w:t>4</w:t>
      </w:r>
      <w:r>
        <w:rPr>
          <w:rFonts w:hint="eastAsia" w:ascii="仿宋_GB2312" w:hAnsi="仿宋" w:eastAsia="仿宋_GB2312"/>
          <w:sz w:val="32"/>
          <w:szCs w:val="32"/>
        </w:rPr>
        <w:t>日</w:t>
      </w:r>
    </w:p>
    <w:p w14:paraId="788FAC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 w14:paraId="4FE9DE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32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 w14:paraId="59EB5E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32" w:firstLineChars="200"/>
        <w:jc w:val="both"/>
        <w:textAlignment w:val="auto"/>
        <w:outlineLvl w:val="9"/>
        <w:rPr>
          <w:rFonts w:hint="eastAsia" w:ascii="方正小标宋_GBK" w:hAnsi="方正小标宋_GBK" w:eastAsia="方正小标宋_GBK" w:cs="方正小标宋_GBK"/>
          <w:color w:val="000000"/>
          <w:kern w:val="6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（信息公开类型：主动公开）</w:t>
      </w:r>
      <w:r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</w:rPr>
        <w:br w:type="page"/>
      </w:r>
    </w:p>
    <w:p w14:paraId="11785D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  <w:lang w:val="en-US" w:eastAsia="zh-CN"/>
        </w:rPr>
        <w:t>6</w:t>
      </w:r>
      <w:r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</w:rPr>
        <w:t>年</w:t>
      </w:r>
      <w:r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  <w:lang w:eastAsia="zh-CN"/>
        </w:rPr>
        <w:t>平山县</w:t>
      </w:r>
      <w:r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</w:rPr>
        <w:t>“双随机、一公开”</w:t>
      </w:r>
    </w:p>
    <w:p w14:paraId="16BA34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000000"/>
          <w:kern w:val="60"/>
          <w:sz w:val="44"/>
          <w:szCs w:val="44"/>
        </w:rPr>
        <w:t>监管工作实施方案</w:t>
      </w:r>
    </w:p>
    <w:p w14:paraId="5BF6AB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0" w:firstLineChars="0"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color w:val="000000"/>
          <w:kern w:val="60"/>
          <w:sz w:val="28"/>
          <w:szCs w:val="28"/>
        </w:rPr>
      </w:pPr>
    </w:p>
    <w:p w14:paraId="6F8DB2C5">
      <w:pPr>
        <w:jc w:val="both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为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深入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贯彻落实国务院、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省委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省政府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和市委市政府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关于深化“放管服”改革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优化营商环境部署要求，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持续强化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</w:rPr>
        <w:t>“双随机、一公开”监管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eastAsia="zh-CN"/>
        </w:rPr>
        <w:t>，提升监管效能，</w:t>
      </w:r>
      <w:r>
        <w:rPr>
          <w:rFonts w:hint="eastAsia" w:ascii="仿宋" w:hAnsi="仿宋" w:eastAsia="仿宋" w:cs="仿宋"/>
          <w:color w:val="000000"/>
          <w:kern w:val="60"/>
          <w:sz w:val="32"/>
          <w:szCs w:val="32"/>
          <w:lang w:val="en-US" w:eastAsia="zh-CN"/>
        </w:rPr>
        <w:t>根据《国务院关于在市场监管领域全面推行部门联合“双随机、一公开”监管的意见》(国发[2019]5号)、《国务院办公厅关于严格规范涉企行政检查的意见》(国办发[2024]54号)、《市场监管总局关于全面深化“双随机、一公开”监管规范涉企行政检查服务高质量发展的意见》(国市监信规〔2024]5号)等文件要求，制定本方案。</w:t>
      </w:r>
    </w:p>
    <w:p w14:paraId="699823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ascii="黑体" w:hAnsi="黑体" w:eastAsia="黑体" w:cs="黑体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一、工作思路及目标</w:t>
      </w:r>
    </w:p>
    <w:p w14:paraId="5528FE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（一）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根据省、市要求，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动态调整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本县各部门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随机抽查事项清单、检查对象名录库和执法检查人员名录库，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进一步完善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对检查对象和执法检查人员的分类标注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，凡是需要第三方或专业机构（专家）协助参与完城抽查工作的部门，都要建立相应的专家库，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确保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抽查顺利进行。</w:t>
      </w:r>
    </w:p>
    <w:p w14:paraId="5517D5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（二）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以部门联合抽查为重点，不断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0"/>
          <w:sz w:val="32"/>
          <w:szCs w:val="32"/>
        </w:rPr>
        <w:t>扩大部门联合随机抽查的覆盖面</w:t>
      </w:r>
      <w:r>
        <w:rPr>
          <w:rFonts w:hint="eastAsia" w:ascii="仿宋_GB2312" w:hAnsi="仿宋_GB2312" w:eastAsia="仿宋_GB2312" w:cs="仿宋_GB2312"/>
          <w:snapToGrid w:val="0"/>
          <w:color w:val="000000"/>
          <w:spacing w:val="0"/>
          <w:sz w:val="32"/>
          <w:szCs w:val="32"/>
          <w:lang w:eastAsia="zh-CN"/>
        </w:rPr>
        <w:t>、占比率，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使部门联合抽查成为</w:t>
      </w:r>
      <w:r>
        <w:rPr>
          <w:rFonts w:hint="eastAsia" w:ascii="仿宋_GB2312" w:hAnsi="仿宋_GB2312" w:cs="仿宋_GB2312"/>
          <w:snapToGrid w:val="0"/>
          <w:sz w:val="32"/>
          <w:szCs w:val="32"/>
          <w:lang w:eastAsia="zh-CN"/>
        </w:rPr>
        <w:t>我县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部门间协同监管的主要方式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通过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河北省双随机监管工作平台，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统一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工作流程，确保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部门联合抽查规范有序开展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。</w:t>
      </w:r>
      <w:bookmarkStart w:id="2" w:name="_GoBack"/>
      <w:bookmarkEnd w:id="2"/>
    </w:p>
    <w:p w14:paraId="02EC15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（三）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提高随机抽查的精准性为目标，完善企业信用风险差异化随机抽查机制，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推进企业信用风险分类管理与“双随机、一公开”监管深度融合，提升随机抽查的靶向性、精准性，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努力实现既“无事不扰”又“无处不在”。</w:t>
      </w:r>
    </w:p>
    <w:p w14:paraId="7C7A17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（四）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深入贯彻落实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《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石家庄市“双随机、一公开”监管工作规范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》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积极开展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“双随机、一公开”监管业务培训和舆论宣传，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进一步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提高“双随机、一公开”监管规范化水平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确保监管执法公平、公正、公开。</w:t>
      </w:r>
    </w:p>
    <w:p w14:paraId="766B39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（五）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加大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督导考核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力度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，加强对各部门随机抽查工作的督导检查，以督查促发现问题、以督查促整改落实，强化工作落实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。</w:t>
      </w:r>
    </w:p>
    <w:p w14:paraId="47F0FD9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二、主要工作任务</w:t>
      </w:r>
    </w:p>
    <w:p w14:paraId="57D6BA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（一）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规范使用工作平台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b w:val="0"/>
          <w:bCs/>
          <w:color w:val="000000"/>
          <w:kern w:val="60"/>
          <w:sz w:val="32"/>
          <w:szCs w:val="32"/>
          <w:lang w:eastAsia="zh-CN"/>
        </w:rPr>
        <w:t>依托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河北省双随机监管工作平台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，根据机构改革后部门和职能调整情况，各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要及时完成对领导小组成员单位的调整，并在平台中构建完毕部门内设机构的设置与调整。根据法律法规规章立改废释情况，待省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、市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有关部门动态调整随机抽查事项清单后，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各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有关部门要依据自身对应的上级部门、三定方案中的监管职责及时对涉及本部门监管事权的事项进行认领，形成本级的抽查事项清单，为开展随机抽查打好基础。动态调整本部门检查对象名录库和执法检查人员名录库，确保本部门检查对象和执法人员“应纳尽纳”。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各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部门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在省级完成本部门、本系统“两库”的分类标注后，及时利用标签字库完成对本级检查对象和执法检查人员的分类标注，实现对检查对象的精准抽取、对执法人员的精准匹配，提升监管效能。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新平台中的表格库除原有的基础检查表外，允许各部门依抽查事项添加个性化检查表单，各部门要在抽查开展前完成相关表单的添加工作。</w:t>
      </w:r>
      <w:r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  <w:t>（责任单位：各有关部门；完成时限：</w:t>
      </w:r>
      <w:r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  <w:lang w:val="en-US" w:eastAsia="zh-CN"/>
        </w:rPr>
        <w:t>3月前</w:t>
      </w:r>
      <w:r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  <w:t>）</w:t>
      </w:r>
    </w:p>
    <w:p w14:paraId="2C3577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大力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推进联合抽查。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各</w:t>
      </w:r>
      <w:r>
        <w:rPr>
          <w:rFonts w:hint="eastAsia" w:ascii="仿宋_GB2312" w:hAnsi="仿宋_GB2312" w:cs="仿宋_GB2312"/>
          <w:snapToGrid w:val="0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要进一步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健全完善部门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联合抽查工作机制，按照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统一谋划、主管牵头、积极参与的原则，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以制定年度随机抽查计划为抓手，确保联合抽查“能联尽联、应联必联”。要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贯彻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落实</w:t>
      </w:r>
      <w:r>
        <w:rPr>
          <w:rFonts w:hint="eastAsia" w:ascii="仿宋_GB2312" w:hAnsi="仿宋_GB2312" w:cs="仿宋_GB2312"/>
          <w:snapToGrid w:val="0"/>
          <w:sz w:val="32"/>
          <w:szCs w:val="32"/>
          <w:lang w:eastAsia="zh-CN"/>
        </w:rPr>
        <w:t>《石家庄市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联合抽查事项清单</w:t>
      </w:r>
      <w:r>
        <w:rPr>
          <w:rFonts w:hint="eastAsia" w:ascii="仿宋_GB2312" w:hAnsi="仿宋_GB2312" w:cs="仿宋_GB2312"/>
          <w:snapToGrid w:val="0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，</w:t>
      </w:r>
      <w:r>
        <w:rPr>
          <w:rFonts w:hint="eastAsia" w:ascii="仿宋_GB2312" w:hAnsi="仿宋_GB2312" w:cs="仿宋_GB2312"/>
          <w:snapToGrid w:val="0"/>
          <w:color w:val="auto"/>
          <w:spacing w:val="0"/>
          <w:sz w:val="32"/>
          <w:szCs w:val="32"/>
          <w:lang w:val="en-US" w:eastAsia="zh-CN"/>
        </w:rPr>
        <w:t>除特殊情况外，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sz w:val="32"/>
          <w:szCs w:val="32"/>
          <w:highlight w:val="none"/>
        </w:rPr>
        <w:t>联合抽查次数占</w:t>
      </w:r>
      <w:r>
        <w:rPr>
          <w:rFonts w:hint="eastAsia" w:ascii="仿宋_GB2312" w:hAnsi="仿宋_GB2312" w:cs="仿宋_GB2312"/>
          <w:snapToGrid w:val="0"/>
          <w:color w:val="auto"/>
          <w:spacing w:val="0"/>
          <w:sz w:val="32"/>
          <w:szCs w:val="32"/>
          <w:highlight w:val="none"/>
          <w:lang w:val="en-US" w:eastAsia="zh-CN"/>
        </w:rPr>
        <w:t>比、户数占比均实现</w:t>
      </w:r>
      <w:r>
        <w:rPr>
          <w:rFonts w:hint="eastAsia" w:ascii="仿宋_GB2312" w:hAnsi="仿宋_GB2312" w:cs="仿宋_GB2312"/>
          <w:snapToGrid w:val="0"/>
          <w:color w:val="000000"/>
          <w:sz w:val="32"/>
          <w:szCs w:val="32"/>
          <w:highlight w:val="none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z w:val="32"/>
          <w:szCs w:val="32"/>
        </w:rPr>
        <w:t>使部门联合抽查成为各地区</w:t>
      </w:r>
      <w:r>
        <w:rPr>
          <w:rFonts w:hint="eastAsia" w:ascii="仿宋_GB2312" w:hAnsi="仿宋_GB2312" w:eastAsia="仿宋_GB2312" w:cs="仿宋_GB2312"/>
          <w:snapToGrid w:val="0"/>
          <w:color w:val="auto"/>
          <w:sz w:val="32"/>
          <w:szCs w:val="32"/>
          <w:lang w:eastAsia="zh-CN"/>
        </w:rPr>
        <w:t>日常</w:t>
      </w:r>
      <w:r>
        <w:rPr>
          <w:rFonts w:hint="eastAsia" w:ascii="仿宋_GB2312" w:hAnsi="仿宋_GB2312" w:eastAsia="仿宋_GB2312" w:cs="仿宋_GB2312"/>
          <w:snapToGrid w:val="0"/>
          <w:color w:val="auto"/>
          <w:sz w:val="32"/>
          <w:szCs w:val="32"/>
        </w:rPr>
        <w:t>监管的主要方式</w:t>
      </w:r>
      <w:r>
        <w:rPr>
          <w:rFonts w:hint="eastAsia" w:ascii="仿宋_GB2312" w:hAnsi="仿宋_GB2312" w:eastAsia="仿宋_GB2312" w:cs="仿宋_GB2312"/>
          <w:snapToGrid w:val="0"/>
          <w:color w:val="auto"/>
          <w:sz w:val="32"/>
          <w:szCs w:val="32"/>
          <w:lang w:eastAsia="zh-CN"/>
        </w:rPr>
        <w:t>，切实压缩涉企检查数量，不断减少对企业正常经营活动的干扰。</w:t>
      </w:r>
      <w:r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  <w:t>（责任单位：各有关部门，完成时限：全年）</w:t>
      </w:r>
    </w:p>
    <w:p w14:paraId="64DFFE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三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着力</w:t>
      </w:r>
      <w:r>
        <w:rPr>
          <w:rFonts w:hint="eastAsia" w:ascii="楷体_GB2312" w:hAnsi="楷体_GB2312" w:eastAsia="楷体_GB2312" w:cs="楷体_GB2312"/>
          <w:b w:val="0"/>
          <w:bCs/>
          <w:snapToGrid w:val="0"/>
          <w:sz w:val="32"/>
          <w:szCs w:val="32"/>
        </w:rPr>
        <w:t>提升监管</w:t>
      </w:r>
      <w:r>
        <w:rPr>
          <w:rFonts w:hint="eastAsia" w:ascii="楷体_GB2312" w:hAnsi="楷体_GB2312" w:eastAsia="楷体_GB2312" w:cs="楷体_GB2312"/>
          <w:b w:val="0"/>
          <w:bCs/>
          <w:snapToGrid w:val="0"/>
          <w:sz w:val="32"/>
          <w:szCs w:val="32"/>
          <w:lang w:eastAsia="zh-CN"/>
        </w:rPr>
        <w:t>效能</w:t>
      </w:r>
      <w:r>
        <w:rPr>
          <w:rFonts w:hint="eastAsia" w:ascii="楷体_GB2312" w:hAnsi="楷体_GB2312" w:eastAsia="楷体_GB2312" w:cs="楷体_GB2312"/>
          <w:b w:val="0"/>
          <w:bCs/>
          <w:snapToGrid w:val="0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各有关部门要认真落实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《河北省人民政府办公厅关于印发河北省“双随机、一公开”监管与企业信用风险分级分类相结合实施方案的通知》（冀政办字</w:t>
      </w:r>
      <w:r>
        <w:rPr>
          <w:rFonts w:hint="eastAsia" w:ascii="仿宋_GB2312" w:hAnsi="仿宋_GB2312" w:eastAsia="仿宋_GB2312" w:cs="仿宋_GB2312"/>
          <w:sz w:val="32"/>
          <w:szCs w:val="32"/>
        </w:rPr>
        <w:t>〔2020〕144号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）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，建立健全与企业信用风险分级分类相适应的随机抽查机制，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深入推进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企业信用风险差异化随机抽查，实现“双随机、一公开”监管与企业信用风险分级分类结合常态化、全覆盖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/>
          <w:bCs/>
          <w:snapToGrid w:val="0"/>
          <w:sz w:val="32"/>
          <w:szCs w:val="32"/>
          <w:lang w:eastAsia="zh-CN"/>
        </w:rPr>
        <w:t>运用信用风险分级分类开展的抽查数量占比要达到本地总抽查数的</w:t>
      </w:r>
      <w:r>
        <w:rPr>
          <w:rFonts w:hint="eastAsia" w:ascii="仿宋_GB2312" w:hAnsi="仿宋_GB2312" w:cs="仿宋_GB2312"/>
          <w:b/>
          <w:bCs/>
          <w:snapToGrid w:val="0"/>
          <w:sz w:val="32"/>
          <w:szCs w:val="32"/>
          <w:lang w:val="en-US" w:eastAsia="zh-CN"/>
        </w:rPr>
        <w:t>90</w:t>
      </w:r>
      <w:r>
        <w:rPr>
          <w:rFonts w:hint="eastAsia" w:ascii="仿宋_GB2312" w:hAnsi="仿宋_GB2312" w:eastAsia="仿宋_GB2312" w:cs="仿宋_GB2312"/>
          <w:b/>
          <w:bCs/>
          <w:snapToGrid w:val="0"/>
          <w:sz w:val="32"/>
          <w:szCs w:val="32"/>
          <w:lang w:val="en-US" w:eastAsia="zh-CN"/>
        </w:rPr>
        <w:t>%以上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要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强化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“双随机、一公开”监管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与重点领域监管的深度融合，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对重点检查事项、重要监管领域及高风险主体要通过加大比例和频次等监管措施，守住安全底线。要充分利用信息化手段，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加大对抽查检查结果的统计分析，运用基于信用风险指数变化的预警功能，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积极探索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“双随机、一公开”监管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  <w:lang w:eastAsia="zh-CN"/>
        </w:rPr>
        <w:t>与智慧监管的结合。</w:t>
      </w:r>
      <w:r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  <w:t>（责任单位：各有关部门，完成时限：长期推进）</w:t>
      </w:r>
    </w:p>
    <w:p w14:paraId="0E7A7D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四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）规范随机抽查工作程序。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各有关部门要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认真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组织学习宣传《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石家庄市“双随机、一公开”监管工作规范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》，</w:t>
      </w:r>
      <w:r>
        <w:rPr>
          <w:rFonts w:hint="eastAsia" w:ascii="仿宋_GB2312" w:hAnsi="仿宋_GB2312" w:eastAsia="仿宋_GB2312" w:cs="仿宋_GB2312"/>
          <w:bCs/>
          <w:spacing w:val="-4"/>
          <w:sz w:val="32"/>
          <w:szCs w:val="32"/>
        </w:rPr>
        <w:t>严格规范</w:t>
      </w:r>
      <w:r>
        <w:rPr>
          <w:rFonts w:hint="eastAsia" w:ascii="仿宋_GB2312" w:hAnsi="仿宋_GB2312" w:eastAsia="仿宋_GB2312" w:cs="仿宋_GB2312"/>
          <w:bCs/>
          <w:spacing w:val="-4"/>
          <w:sz w:val="32"/>
          <w:szCs w:val="32"/>
          <w:lang w:eastAsia="zh-CN"/>
        </w:rPr>
        <w:t>随机抽查工作程序，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提高“双随机、一公开”监管规范化水平。严格按照部门年度随机抽查计划开展抽查，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加大组织随机抽查前的业务培训力度，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制定的年度计划、实施方案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抽查结果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及处理结果要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及时向社会公开。调整年度抽查计划应严格履行相关工作程序，调整后的年度抽查计划要及时向社会公开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不断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完善抽查后续处置机制，规范问题线索的转办、移送等工作，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依法定程序及时移交有处置权限的机构和相关部门，涉嫌犯罪的及时移送司法机关，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实现监管闭环。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加大对抽查发现的违法失信行为的信用惩戒力度，将其纳入主体的信用记录，实施联合惩戒，强化信用监管的基础性地位和市场主体诚信守法经营自律意识，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提升随机抽查效</w:t>
      </w:r>
      <w:r>
        <w:rPr>
          <w:rFonts w:hint="eastAsia" w:ascii="仿宋_GB2312" w:hAnsi="仿宋_GB2312" w:eastAsia="仿宋_GB2312" w:cs="仿宋_GB2312"/>
          <w:snapToGrid w:val="0"/>
          <w:spacing w:val="-6"/>
          <w:sz w:val="32"/>
          <w:szCs w:val="32"/>
        </w:rPr>
        <w:t>能和震慑力</w:t>
      </w:r>
      <w:r>
        <w:rPr>
          <w:rFonts w:hint="eastAsia" w:ascii="仿宋_GB2312" w:hAnsi="仿宋_GB2312" w:eastAsia="仿宋_GB2312" w:cs="仿宋_GB2312"/>
          <w:color w:val="000000"/>
          <w:spacing w:val="-6"/>
          <w:kern w:val="60"/>
          <w:sz w:val="32"/>
          <w:szCs w:val="32"/>
        </w:rPr>
        <w:t>。</w:t>
      </w:r>
      <w:r>
        <w:rPr>
          <w:rFonts w:hint="eastAsia" w:ascii="楷体_GB2312" w:hAnsi="楷体_GB2312" w:eastAsia="楷体_GB2312" w:cs="楷体_GB2312"/>
          <w:color w:val="000000"/>
          <w:spacing w:val="-6"/>
          <w:kern w:val="60"/>
          <w:sz w:val="32"/>
          <w:szCs w:val="32"/>
        </w:rPr>
        <w:t>（责任单位：各有关部门，完成时限：长期推进）</w:t>
      </w:r>
    </w:p>
    <w:p w14:paraId="48291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（五）加大宣传培训力度。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各有关部门要突出抓好随机抽查工作的宣传报道，不仅要加大在新闻媒体、官方网站等的报道力度，还要育服务于监管之中，在实地检查中宣讲政策、答疑解惑，不断增强企业、社会对双随机抽查监管方式的认知度，</w:t>
      </w:r>
      <w:r>
        <w:rPr>
          <w:rFonts w:hint="eastAsia" w:ascii="仿宋_GB2312" w:hAnsi="仿宋_GB2312" w:eastAsia="仿宋_GB2312" w:cs="仿宋_GB2312"/>
          <w:sz w:val="32"/>
          <w:szCs w:val="32"/>
        </w:rPr>
        <w:t>提升“双随机、一公开”监管的社会影响力和公众知晓度，加快形成政府公正监管、企业诚信自律、社会公众监督的良好氛围。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各有关部门要积极探索创新，将好经验、好做法固化为制度机制，不断提升全</w:t>
      </w:r>
      <w:r>
        <w:rPr>
          <w:rFonts w:hint="eastAsia" w:ascii="仿宋_GB2312" w:hAnsi="仿宋_GB2312" w:cs="仿宋_GB2312"/>
          <w:snapToGrid w:val="0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snapToGrid w:val="0"/>
          <w:sz w:val="32"/>
          <w:szCs w:val="32"/>
        </w:rPr>
        <w:t>“双随机、一公开”监管整体水平。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要常态化开展随机抽查工作培训，既要加强对执法人员的业务培训和管理人员的系统使用培训，又要重点强化对《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石家庄市“双随机、一公开”监管工作规范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》的培训，提高基层执法人员能力素质，满足联合抽查工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作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需求，实现抽查工作规范有序、抽查结果认定统一。</w:t>
      </w:r>
      <w:r>
        <w:rPr>
          <w:rFonts w:hint="eastAsia" w:ascii="楷体_GB2312" w:hAnsi="楷体_GB2312" w:eastAsia="楷体_GB2312" w:cs="楷体_GB2312"/>
          <w:color w:val="000000"/>
          <w:kern w:val="60"/>
          <w:sz w:val="32"/>
          <w:szCs w:val="32"/>
        </w:rPr>
        <w:t>（责任单位：各有关部门，完成时限：长期推进）</w:t>
      </w:r>
    </w:p>
    <w:p w14:paraId="29F733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ascii="黑体" w:hAnsi="黑体" w:eastAsia="黑体" w:cs="黑体"/>
          <w:color w:val="000000"/>
          <w:kern w:val="6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kern w:val="60"/>
          <w:sz w:val="32"/>
          <w:szCs w:val="32"/>
        </w:rPr>
        <w:t>三、工作要求</w:t>
      </w:r>
    </w:p>
    <w:p w14:paraId="2D11B1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pacing w:val="-6"/>
          <w:kern w:val="6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（一）提高政治站位，加强组织领导。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各有关部门要深刻认识做好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“双随机、一公开”监管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工作的重要性和紧迫性，进一步加强组织领导和统筹协调，完善工作制度和运行机制，细化工作目标和推进举措，确保全年各项工作任务落到实处、取得实效，为</w:t>
      </w:r>
      <w:r>
        <w:rPr>
          <w:rFonts w:hint="eastAsia" w:ascii="仿宋_GB2312" w:hAnsi="仿宋_GB2312" w:eastAsia="仿宋_GB2312" w:cs="仿宋_GB2312"/>
          <w:color w:val="000000"/>
          <w:spacing w:val="-6"/>
          <w:kern w:val="60"/>
          <w:sz w:val="32"/>
          <w:szCs w:val="32"/>
        </w:rPr>
        <w:t>深化“放管服”改革、优化营商环境做出积极贡献。</w:t>
      </w:r>
    </w:p>
    <w:p w14:paraId="210947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（二）认真履行职责，积极协调配合。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市场监管部门要在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政府的领导下，积极发挥好领导小组办公室的牵头抓总、统筹协调、监督指导的职能作用。各相关部门要认真落实主体责任，按照同级政府和上级主管部门的要求，积极主动开展工作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。</w:t>
      </w:r>
    </w:p>
    <w:p w14:paraId="50E995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cs="仿宋_GB2312"/>
          <w:b w:val="0"/>
          <w:bCs/>
          <w:color w:val="000000"/>
          <w:kern w:val="6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三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注重信用分类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，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实施精准监管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。</w:t>
      </w:r>
      <w:r>
        <w:rPr>
          <w:rFonts w:hint="eastAsia" w:ascii="仿宋_GB2312" w:hAnsi="仿宋_GB2312" w:cs="仿宋_GB2312"/>
          <w:b w:val="0"/>
          <w:bCs/>
          <w:color w:val="000000"/>
          <w:kern w:val="60"/>
          <w:sz w:val="32"/>
          <w:szCs w:val="32"/>
          <w:lang w:eastAsia="zh-CN"/>
        </w:rPr>
        <w:t>各部门要深入推进企业信用风险差异化随机抽查，充分运用企业信用风险分级分类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eastAsia="zh-CN"/>
        </w:rPr>
        <w:t>开展的抽查次数占抽查企业总次数的比例</w:t>
      </w:r>
      <w:r>
        <w:rPr>
          <w:rFonts w:hint="eastAsia" w:ascii="仿宋_GB2312" w:hAnsi="仿宋_GB2312" w:cs="仿宋_GB2312"/>
          <w:snapToGrid w:val="0"/>
          <w:color w:val="000000"/>
          <w:sz w:val="32"/>
          <w:szCs w:val="32"/>
          <w:lang w:eastAsia="zh-CN"/>
        </w:rPr>
        <w:t>要达到</w:t>
      </w:r>
      <w:r>
        <w:rPr>
          <w:rFonts w:hint="eastAsia" w:ascii="仿宋_GB2312" w:hAnsi="仿宋_GB2312" w:cs="仿宋_GB2312"/>
          <w:snapToGrid w:val="0"/>
          <w:color w:val="000000"/>
          <w:sz w:val="32"/>
          <w:szCs w:val="32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snapToGrid w:val="0"/>
          <w:color w:val="000000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cs="仿宋_GB2312"/>
          <w:b w:val="0"/>
          <w:bCs/>
          <w:color w:val="000000"/>
          <w:kern w:val="60"/>
          <w:sz w:val="32"/>
          <w:szCs w:val="32"/>
          <w:lang w:val="en-US" w:eastAsia="zh-CN"/>
        </w:rPr>
        <w:t>实现“双随机、一公开”监管与企业信用风险分级分类结合常态化、全覆盖。</w:t>
      </w:r>
    </w:p>
    <w:p w14:paraId="2B71597E">
      <w:pPr>
        <w:pStyle w:val="2"/>
        <w:rPr>
          <w:rFonts w:hint="eastAsia" w:ascii="仿宋_GB2312" w:hAnsi="仿宋_GB2312" w:eastAsia="仿宋_GB2312" w:cs="仿宋_GB2312"/>
          <w:b w:val="0"/>
          <w:bCs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四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）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加强后续处理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，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确保监管闭环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。</w:t>
      </w:r>
      <w:r>
        <w:rPr>
          <w:rFonts w:hint="eastAsia" w:ascii="仿宋" w:hAnsi="仿宋" w:eastAsia="仿宋" w:cs="仿宋"/>
          <w:spacing w:val="0"/>
          <w:sz w:val="32"/>
          <w:szCs w:val="32"/>
          <w:lang w:val="en-US" w:eastAsia="zh-CN"/>
        </w:rPr>
        <w:t>各部门在每次抽查工作结束后，依据职责和管辖权限，要依法做好抽查结果的后续处置工作，并将后续处理结果及时录入河北省双随机监管工作平台“后续处理”模块，坚决</w:t>
      </w:r>
      <w:r>
        <w:rPr>
          <w:rFonts w:hint="eastAsia" w:ascii="仿宋_GB2312" w:hAnsi="仿宋_GB2312" w:eastAsia="仿宋_GB2312" w:cs="仿宋_GB2312"/>
          <w:b/>
          <w:bCs/>
          <w:spacing w:val="0"/>
          <w:sz w:val="32"/>
          <w:szCs w:val="32"/>
          <w:lang w:val="en-US" w:eastAsia="zh-CN"/>
        </w:rPr>
        <w:t>杜绝后续处理结果不回填或回填超期</w:t>
      </w:r>
      <w:r>
        <w:rPr>
          <w:rFonts w:hint="eastAsia" w:ascii="仿宋_GB2312" w:hAnsi="仿宋_GB2312" w:cs="仿宋_GB2312"/>
          <w:b w:val="0"/>
          <w:bCs w:val="0"/>
          <w:spacing w:val="0"/>
          <w:sz w:val="32"/>
          <w:szCs w:val="32"/>
          <w:lang w:val="en-US" w:eastAsia="zh-CN"/>
        </w:rPr>
        <w:t>等现象，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确保后续监管到位，</w:t>
      </w:r>
      <w:r>
        <w:rPr>
          <w:rFonts w:hint="eastAsia" w:ascii="仿宋_GB2312" w:hAnsi="仿宋_GB2312" w:cs="仿宋_GB2312"/>
          <w:spacing w:val="0"/>
          <w:sz w:val="32"/>
          <w:szCs w:val="32"/>
          <w:lang w:val="en-US" w:eastAsia="zh-CN"/>
        </w:rPr>
        <w:t>打通“最后一公里”，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形成监管闭环。</w:t>
      </w:r>
    </w:p>
    <w:p w14:paraId="0F26D5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（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  <w:lang w:eastAsia="zh-CN"/>
        </w:rPr>
        <w:t>五</w:t>
      </w:r>
      <w:r>
        <w:rPr>
          <w:rFonts w:hint="eastAsia" w:ascii="楷体_GB2312" w:hAnsi="楷体_GB2312" w:eastAsia="楷体_GB2312" w:cs="楷体_GB2312"/>
          <w:b w:val="0"/>
          <w:bCs/>
          <w:color w:val="000000"/>
          <w:kern w:val="60"/>
          <w:sz w:val="32"/>
          <w:szCs w:val="32"/>
        </w:rPr>
        <w:t>）强化跟踪问效，加大督查力度。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县政府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要建立健全“双随机、一公开”监管工作效果评估机制，不断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完善对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随机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抽查工作全流程的管控，提高随机抽查的工作效能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探索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推行随机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抽查回访机制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提升随机抽查中的问题发现率，体现出随机抽查的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震慑力。各有关部门要采取适当方式，加强对本部门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、本系统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“双随机、一公开”监管工作的督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促指导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和培训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重点强化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  <w:lang w:eastAsia="zh-CN"/>
        </w:rPr>
        <w:t>对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抽查计划的制定与落实、按时限完成结果录入、发现问题的后续处理等环节的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指导和督查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，坚决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60"/>
          <w:sz w:val="32"/>
          <w:szCs w:val="32"/>
        </w:rPr>
        <w:t>克服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60"/>
          <w:sz w:val="32"/>
          <w:szCs w:val="32"/>
          <w:lang w:eastAsia="zh-CN"/>
        </w:rPr>
        <w:t>方案制定不认真、现场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60"/>
          <w:sz w:val="32"/>
          <w:szCs w:val="32"/>
        </w:rPr>
        <w:t>检查走过场、纸上填报、结果录入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60"/>
          <w:sz w:val="32"/>
          <w:szCs w:val="32"/>
          <w:lang w:eastAsia="zh-CN"/>
        </w:rPr>
        <w:t>审核把关不严</w:t>
      </w:r>
      <w:r>
        <w:rPr>
          <w:rFonts w:hint="eastAsia" w:ascii="仿宋_GB2312" w:hAnsi="仿宋_GB2312" w:cs="仿宋_GB2312"/>
          <w:b/>
          <w:bCs/>
          <w:color w:val="000000"/>
          <w:kern w:val="60"/>
          <w:sz w:val="32"/>
          <w:szCs w:val="32"/>
          <w:lang w:eastAsia="zh-CN"/>
        </w:rPr>
        <w:t>、结果录入错误和超期录入、作废方案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等不认真履行职责的现象。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“双随机、一公开”监管工作领导小组办公室将适时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查看后台数据、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开展专项督查和对被抽查主体的回访，督查情况将通报全</w:t>
      </w:r>
      <w:r>
        <w:rPr>
          <w:rFonts w:hint="eastAsia" w:ascii="仿宋_GB2312" w:hAnsi="仿宋_GB2312" w:cs="仿宋_GB2312"/>
          <w:color w:val="000000"/>
          <w:kern w:val="60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。</w:t>
      </w:r>
    </w:p>
    <w:p w14:paraId="5B2D22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cs="仿宋_GB2312"/>
          <w:bCs/>
          <w:color w:val="000000"/>
          <w:kern w:val="60"/>
          <w:sz w:val="32"/>
          <w:szCs w:val="32"/>
          <w:lang w:eastAsia="zh-CN"/>
        </w:rPr>
        <w:t>各部门</w:t>
      </w:r>
      <w:r>
        <w:rPr>
          <w:rFonts w:hint="eastAsia" w:ascii="仿宋_GB2312" w:hAnsi="仿宋_GB2312" w:eastAsia="仿宋_GB2312" w:cs="仿宋_GB2312"/>
          <w:bCs/>
          <w:color w:val="000000"/>
          <w:kern w:val="60"/>
          <w:sz w:val="32"/>
          <w:szCs w:val="32"/>
        </w:rPr>
        <w:t>要认真执行</w:t>
      </w:r>
      <w:r>
        <w:rPr>
          <w:rFonts w:hint="eastAsia" w:ascii="仿宋_GB2312" w:hAnsi="仿宋_GB2312" w:eastAsia="仿宋_GB2312" w:cs="仿宋_GB2312"/>
          <w:color w:val="000000"/>
          <w:kern w:val="60"/>
          <w:sz w:val="32"/>
          <w:szCs w:val="32"/>
        </w:rPr>
        <w:t>信息联络员制度，按时报送“双随机、一公开”监管工作开展情况。各成员单位于</w:t>
      </w:r>
      <w:r>
        <w:rPr>
          <w:rFonts w:hint="eastAsia" w:ascii="仿宋_GB2312" w:hAnsi="仿宋_GB2312" w:eastAsia="仿宋_GB2312" w:cs="仿宋_GB2312"/>
          <w:sz w:val="32"/>
          <w:szCs w:val="32"/>
        </w:rPr>
        <w:t>每月2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日前将月报表，4月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日、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日、10月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日、12月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日前将本部门“双随机、一公开”监管工作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总结</w:t>
      </w:r>
      <w:r>
        <w:rPr>
          <w:rFonts w:hint="eastAsia" w:ascii="仿宋_GB2312" w:hAnsi="仿宋_GB2312" w:eastAsia="仿宋_GB2312" w:cs="仿宋_GB2312"/>
          <w:sz w:val="32"/>
          <w:szCs w:val="32"/>
        </w:rPr>
        <w:t>报送我办。</w:t>
      </w:r>
    </w:p>
    <w:p w14:paraId="0F79B7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 系 人：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王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联系电话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82936030</w:t>
      </w:r>
    </w:p>
    <w:p w14:paraId="3E8660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电子邮箱：</w:t>
      </w:r>
      <w:r>
        <w:rPr>
          <w:rFonts w:hint="eastAsia" w:ascii="仿宋_GB2312" w:hAnsi="仿宋_GB2312" w:eastAsia="仿宋_GB2312" w:cs="仿宋_GB2312"/>
          <w:sz w:val="32"/>
        </w:rPr>
        <w:fldChar w:fldCharType="begin"/>
      </w:r>
      <w:r>
        <w:rPr>
          <w:rFonts w:hint="eastAsia" w:ascii="仿宋_GB2312" w:hAnsi="仿宋_GB2312" w:eastAsia="仿宋_GB2312" w:cs="仿宋_GB2312"/>
          <w:sz w:val="32"/>
        </w:rPr>
        <w:instrText xml:space="preserve"> HYPERLINK "mailto:hebgsjqgc@163.com" </w:instrText>
      </w:r>
      <w:r>
        <w:rPr>
          <w:rFonts w:hint="eastAsia" w:ascii="仿宋_GB2312" w:hAnsi="仿宋_GB2312" w:eastAsia="仿宋_GB2312" w:cs="仿宋_GB2312"/>
          <w:sz w:val="32"/>
        </w:rPr>
        <w:fldChar w:fldCharType="separate"/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psssjygk</w:t>
      </w:r>
      <w:r>
        <w:rPr>
          <w:rFonts w:hint="eastAsia" w:ascii="仿宋_GB2312" w:hAnsi="仿宋_GB2312" w:eastAsia="仿宋_GB2312" w:cs="仿宋_GB2312"/>
          <w:sz w:val="32"/>
          <w:szCs w:val="32"/>
        </w:rPr>
        <w:t>@1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63.</w:t>
      </w:r>
      <w:r>
        <w:rPr>
          <w:rFonts w:hint="eastAsia" w:ascii="仿宋_GB2312" w:hAnsi="仿宋_GB2312" w:eastAsia="仿宋_GB2312" w:cs="仿宋_GB2312"/>
          <w:sz w:val="32"/>
          <w:szCs w:val="32"/>
        </w:rPr>
        <w:t>com</w:t>
      </w:r>
      <w:r>
        <w:rPr>
          <w:rFonts w:hint="eastAsia" w:ascii="仿宋_GB2312" w:hAnsi="仿宋_GB2312" w:eastAsia="仿宋_GB2312" w:cs="仿宋_GB2312"/>
          <w:sz w:val="32"/>
          <w:szCs w:val="32"/>
        </w:rPr>
        <w:fldChar w:fldCharType="end"/>
      </w:r>
    </w:p>
    <w:p w14:paraId="376B89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ascii="仿宋_GB2312" w:hAnsi="仿宋_GB2312" w:eastAsia="仿宋_GB2312" w:cs="仿宋_GB2312"/>
          <w:color w:val="000000"/>
          <w:kern w:val="60"/>
          <w:sz w:val="32"/>
          <w:szCs w:val="32"/>
        </w:rPr>
      </w:pPr>
    </w:p>
    <w:p w14:paraId="0B927DF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附件：1.</w:t>
      </w:r>
      <w:r>
        <w:rPr>
          <w:rFonts w:hint="eastAsia" w:ascii="仿宋_GB2312"/>
          <w:sz w:val="32"/>
          <w:szCs w:val="32"/>
          <w:lang w:eastAsia="zh-CN"/>
        </w:rPr>
        <w:t>县</w:t>
      </w:r>
      <w:r>
        <w:rPr>
          <w:rFonts w:hint="eastAsia" w:ascii="仿宋_GB2312" w:eastAsia="仿宋_GB2312"/>
          <w:sz w:val="32"/>
          <w:szCs w:val="32"/>
        </w:rPr>
        <w:t>“双随机、一公开”监管工作月报表</w:t>
      </w:r>
    </w:p>
    <w:p w14:paraId="64AE50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32" w:firstLineChars="20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  2.有关部门“双随机、一公开”监管工作月报表</w:t>
      </w:r>
    </w:p>
    <w:p w14:paraId="160D29D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br w:type="page"/>
      </w:r>
      <w:r>
        <w:rPr>
          <w:rFonts w:hint="eastAsia" w:ascii="黑体" w:hAnsi="黑体" w:eastAsia="黑体" w:cs="黑体"/>
          <w:color w:val="000000"/>
          <w:sz w:val="32"/>
          <w:szCs w:val="32"/>
        </w:rPr>
        <w:t>附件1</w:t>
      </w:r>
    </w:p>
    <w:p w14:paraId="2F4F1A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9"/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  <w:lang w:val="en-US" w:eastAsia="zh-CN"/>
        </w:rPr>
        <w:t>县（市、区）</w:t>
      </w:r>
      <w:r>
        <w:rPr>
          <w:rFonts w:hint="eastAsia" w:ascii="方正小标宋_GBK" w:hAnsi="方正小标宋_GBK" w:eastAsia="方正小标宋_GBK" w:cs="方正小标宋_GBK"/>
          <w:bCs/>
          <w:color w:val="000000"/>
          <w:sz w:val="44"/>
          <w:szCs w:val="44"/>
        </w:rPr>
        <w:t>“双随机、一公开”监管月报表</w:t>
      </w:r>
    </w:p>
    <w:p w14:paraId="696FB50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outlineLvl w:val="9"/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（本年度累计数据）</w:t>
      </w:r>
    </w:p>
    <w:p w14:paraId="6DE6FD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outlineLvl w:val="9"/>
        <w:rPr>
          <w:rFonts w:hint="eastAsia" w:ascii="仿宋_GB2312" w:hAnsi="仿宋_GB2312" w:eastAsia="仿宋_GB2312" w:cs="仿宋_GB2312"/>
          <w:bCs/>
          <w:color w:val="000000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单位名称（盖章）：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  </w:t>
      </w:r>
      <w:r>
        <w:rPr>
          <w:rFonts w:hint="eastAsia" w:ascii="仿宋_GB2312" w:hAnsi="仿宋_GB2312" w:cs="仿宋_GB2312"/>
          <w:color w:val="000000"/>
          <w:sz w:val="30"/>
          <w:szCs w:val="30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cs="仿宋_GB2312"/>
          <w:color w:val="000000"/>
          <w:sz w:val="30"/>
          <w:szCs w:val="30"/>
          <w:u w:val="non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填表时间：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cs="仿宋_GB2312"/>
          <w:color w:val="000000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sz w:val="30"/>
          <w:szCs w:val="30"/>
        </w:rPr>
        <w:t>日</w:t>
      </w:r>
    </w:p>
    <w:tbl>
      <w:tblPr>
        <w:tblStyle w:val="5"/>
        <w:tblW w:w="92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37"/>
        <w:gridCol w:w="5110"/>
        <w:gridCol w:w="2375"/>
      </w:tblGrid>
      <w:tr w14:paraId="1EEFD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17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9AEE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</w:rPr>
              <w:t>通过</w:t>
            </w: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  <w:lang w:eastAsia="zh-CN"/>
              </w:rPr>
              <w:t>河北</w:t>
            </w: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</w:rPr>
              <w:t>双随机</w:t>
            </w: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  <w:lang w:eastAsia="zh-CN"/>
              </w:rPr>
              <w:t>执法</w:t>
            </w: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</w:rPr>
              <w:t>监管平台开展抽查情况</w:t>
            </w:r>
          </w:p>
        </w:tc>
        <w:tc>
          <w:tcPr>
            <w:tcW w:w="5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3FD7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本地区开展随机抽查次数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（包含部门内部和部门联合）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731E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0300D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7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E567C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11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31682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本地区市场监管系统开展随机抽查次数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（包含部门内部和部门联合，分别标注）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D812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cs="Times New Roman"/>
                <w:color w:val="000000"/>
                <w:sz w:val="28"/>
                <w:szCs w:val="28"/>
                <w:vertAlign w:val="baseline"/>
                <w:lang w:val="en-US" w:eastAsia="zh-CN"/>
              </w:rPr>
              <w:t>内部：</w:t>
            </w:r>
          </w:p>
        </w:tc>
      </w:tr>
      <w:tr w14:paraId="0276B9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173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CD65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</w:pPr>
          </w:p>
        </w:tc>
        <w:tc>
          <w:tcPr>
            <w:tcW w:w="511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3A2AAA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</w:pP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75CE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cs="Times New Roman"/>
                <w:color w:val="00000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cs="Times New Roman"/>
                <w:color w:val="000000"/>
                <w:sz w:val="28"/>
                <w:szCs w:val="28"/>
                <w:vertAlign w:val="baseline"/>
                <w:lang w:val="en-US" w:eastAsia="zh-CN"/>
              </w:rPr>
              <w:t>联合：</w:t>
            </w:r>
          </w:p>
        </w:tc>
      </w:tr>
      <w:tr w14:paraId="7DD68B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7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1CC0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43A2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本地区开展部门内部随机抽查次数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F4DF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0DE91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  <w:jc w:val="center"/>
        </w:trPr>
        <w:tc>
          <w:tcPr>
            <w:tcW w:w="17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C4D3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477C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本地区开展部门联合随机抽查次数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E23E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57E326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17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C0B2A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6BB4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本地区涉及企业的随机抽查的次数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（抽查对象为企业）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DF98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29C3E4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  <w:jc w:val="center"/>
        </w:trPr>
        <w:tc>
          <w:tcPr>
            <w:tcW w:w="17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F73D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900C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本地区利用企业信用风险分级分类开展随机抽查的次数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F918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568AF2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1F0B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  <w:vertAlign w:val="baseline"/>
              </w:rPr>
              <w:t>通过其他平台开展抽查情况</w:t>
            </w:r>
          </w:p>
        </w:tc>
        <w:tc>
          <w:tcPr>
            <w:tcW w:w="5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2F856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本地区开展抽查次数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3C980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599CC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1" w:hRule="atLeast"/>
          <w:jc w:val="center"/>
        </w:trPr>
        <w:tc>
          <w:tcPr>
            <w:tcW w:w="17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6C56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2AC9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本地区涉及企业的随机抽查次数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（抽查对象为企业）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EE68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  <w:tr w14:paraId="0F6712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1" w:hRule="atLeast"/>
          <w:jc w:val="center"/>
        </w:trPr>
        <w:tc>
          <w:tcPr>
            <w:tcW w:w="17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E229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  <w:tc>
          <w:tcPr>
            <w:tcW w:w="51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3010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本地区利用企业信用风险分级分类开展随机抽查的次数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、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  <w:lang w:eastAsia="zh-CN"/>
              </w:rPr>
              <w:t>及发现问题户数</w:t>
            </w:r>
          </w:p>
        </w:tc>
        <w:tc>
          <w:tcPr>
            <w:tcW w:w="23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7117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both"/>
              <w:textAlignment w:val="auto"/>
              <w:outlineLvl w:val="9"/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</w:pPr>
          </w:p>
        </w:tc>
      </w:tr>
    </w:tbl>
    <w:p w14:paraId="0C29EB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outlineLvl w:val="9"/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</w:pP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联系人：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  </w:t>
      </w:r>
      <w:r>
        <w:rPr>
          <w:rFonts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 联系电话：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   </w:t>
      </w:r>
      <w:r>
        <w:rPr>
          <w:rFonts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</w:t>
      </w:r>
      <w:r>
        <w:rPr>
          <w:rFonts w:hint="eastAsia" w:ascii="Times New Roman" w:hAnsi="Times New Roman" w:cs="Times New Roman"/>
          <w:color w:val="000000"/>
          <w:sz w:val="28"/>
          <w:szCs w:val="28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手机：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          </w:t>
      </w:r>
    </w:p>
    <w:p w14:paraId="734AFB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color w:val="000000"/>
          <w:sz w:val="32"/>
          <w:szCs w:val="32"/>
        </w:rPr>
      </w:pPr>
    </w:p>
    <w:p w14:paraId="52B71A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color w:val="000000"/>
          <w:sz w:val="32"/>
          <w:szCs w:val="32"/>
        </w:rPr>
      </w:pPr>
    </w:p>
    <w:p w14:paraId="11F85F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2</w:t>
      </w:r>
    </w:p>
    <w:p w14:paraId="2B3EEF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  <w:lang w:eastAsia="zh-CN"/>
        </w:rPr>
        <w:t>县</w:t>
      </w:r>
      <w:r>
        <w:rPr>
          <w:rFonts w:hint="eastAsia" w:ascii="方正小标宋简体" w:hAnsi="方正小标宋简体" w:eastAsia="方正小标宋简体" w:cs="方正小标宋简体"/>
          <w:bCs/>
          <w:color w:val="000000"/>
          <w:spacing w:val="-8"/>
          <w:sz w:val="44"/>
          <w:szCs w:val="44"/>
        </w:rPr>
        <w:t>有关部门“双随机、一公开”监管工作月报表</w:t>
      </w:r>
    </w:p>
    <w:p w14:paraId="7E8F1F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（本年度累计数据）</w:t>
      </w:r>
    </w:p>
    <w:p w14:paraId="44281A91">
      <w:pPr>
        <w:rPr>
          <w:rFonts w:hint="eastAsia" w:ascii="仿宋_GB2312" w:hAnsi="仿宋_GB2312" w:eastAsia="仿宋_GB2312" w:cs="仿宋_GB2312"/>
          <w:color w:val="00000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单位名称：</w:t>
      </w:r>
      <w:r>
        <w:rPr>
          <w:rFonts w:hint="eastAsia" w:ascii="仿宋_GB2312" w:hAnsi="仿宋_GB2312" w:eastAsia="仿宋_GB2312" w:cs="仿宋_GB2312"/>
          <w:sz w:val="28"/>
          <w:szCs w:val="28"/>
          <w:u w:val="none"/>
          <w:lang w:val="en-US" w:eastAsia="zh-CN"/>
        </w:rPr>
        <w:t xml:space="preserve">                      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 xml:space="preserve"> 填表时间：</w:t>
      </w:r>
      <w:r>
        <w:rPr>
          <w:rFonts w:hint="eastAsia" w:ascii="仿宋_GB2312" w:hAnsi="仿宋_GB2312" w:cs="仿宋_GB2312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</w:rPr>
        <w:t>日</w:t>
      </w:r>
    </w:p>
    <w:tbl>
      <w:tblPr>
        <w:tblStyle w:val="5"/>
        <w:tblW w:w="499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3"/>
        <w:gridCol w:w="354"/>
        <w:gridCol w:w="4771"/>
        <w:gridCol w:w="2907"/>
      </w:tblGrid>
      <w:tr w14:paraId="487426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  <w:jc w:val="center"/>
        </w:trPr>
        <w:tc>
          <w:tcPr>
            <w:tcW w:w="565" w:type="pct"/>
            <w:vMerge w:val="restart"/>
            <w:noWrap w:val="0"/>
            <w:vAlign w:val="center"/>
          </w:tcPr>
          <w:p w14:paraId="2C3C0B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通过河北双随机执法监管平台开展抽查情况</w:t>
            </w:r>
          </w:p>
        </w:tc>
        <w:tc>
          <w:tcPr>
            <w:tcW w:w="195" w:type="pct"/>
            <w:noWrap w:val="0"/>
            <w:vAlign w:val="center"/>
          </w:tcPr>
          <w:p w14:paraId="5C0E2A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default" w:ascii="仿宋_GB2312" w:hAnsi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2634" w:type="pct"/>
            <w:noWrap w:val="0"/>
            <w:vAlign w:val="center"/>
          </w:tcPr>
          <w:p w14:paraId="641895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本级开展随机抽查次数、户数及发现问题户数</w:t>
            </w:r>
          </w:p>
        </w:tc>
        <w:tc>
          <w:tcPr>
            <w:tcW w:w="1604" w:type="pct"/>
            <w:noWrap w:val="0"/>
            <w:vAlign w:val="center"/>
          </w:tcPr>
          <w:p w14:paraId="47194F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 w14:paraId="6F6530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565" w:type="pct"/>
            <w:vMerge w:val="continue"/>
            <w:noWrap w:val="0"/>
            <w:vAlign w:val="center"/>
          </w:tcPr>
          <w:p w14:paraId="1DDE3D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95" w:type="pct"/>
            <w:vMerge w:val="restart"/>
            <w:noWrap w:val="0"/>
            <w:vAlign w:val="center"/>
          </w:tcPr>
          <w:p w14:paraId="643BCB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default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2634" w:type="pct"/>
            <w:vMerge w:val="restart"/>
            <w:noWrap w:val="0"/>
            <w:vAlign w:val="center"/>
          </w:tcPr>
          <w:p w14:paraId="2354E6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本级开展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省级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随机抽查次数、户数及发现问题户数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28"/>
                <w:vertAlign w:val="baseline"/>
              </w:rPr>
              <w:t>（包含部门内部和部门联合，分别标注）</w:t>
            </w:r>
          </w:p>
        </w:tc>
        <w:tc>
          <w:tcPr>
            <w:tcW w:w="1604" w:type="pct"/>
            <w:noWrap w:val="0"/>
            <w:vAlign w:val="center"/>
          </w:tcPr>
          <w:p w14:paraId="32179B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内部：</w:t>
            </w:r>
          </w:p>
        </w:tc>
      </w:tr>
      <w:tr w14:paraId="775C18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  <w:jc w:val="center"/>
        </w:trPr>
        <w:tc>
          <w:tcPr>
            <w:tcW w:w="565" w:type="pct"/>
            <w:vMerge w:val="continue"/>
            <w:noWrap w:val="0"/>
            <w:vAlign w:val="center"/>
          </w:tcPr>
          <w:p w14:paraId="675D93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</w:pPr>
          </w:p>
        </w:tc>
        <w:tc>
          <w:tcPr>
            <w:tcW w:w="195" w:type="pct"/>
            <w:vMerge w:val="continue"/>
            <w:noWrap w:val="0"/>
            <w:vAlign w:val="center"/>
          </w:tcPr>
          <w:p w14:paraId="0D1D3F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</w:pPr>
          </w:p>
        </w:tc>
        <w:tc>
          <w:tcPr>
            <w:tcW w:w="2634" w:type="pct"/>
            <w:vMerge w:val="continue"/>
            <w:noWrap w:val="0"/>
            <w:vAlign w:val="center"/>
          </w:tcPr>
          <w:p w14:paraId="1AD65F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</w:pPr>
          </w:p>
        </w:tc>
        <w:tc>
          <w:tcPr>
            <w:tcW w:w="1604" w:type="pct"/>
            <w:noWrap w:val="0"/>
            <w:vAlign w:val="center"/>
          </w:tcPr>
          <w:p w14:paraId="606006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联合：</w:t>
            </w:r>
          </w:p>
        </w:tc>
      </w:tr>
      <w:tr w14:paraId="094A1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9" w:hRule="atLeast"/>
          <w:jc w:val="center"/>
        </w:trPr>
        <w:tc>
          <w:tcPr>
            <w:tcW w:w="565" w:type="pct"/>
            <w:vMerge w:val="continue"/>
            <w:noWrap w:val="0"/>
            <w:vAlign w:val="center"/>
          </w:tcPr>
          <w:p w14:paraId="443AD8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</w:pPr>
          </w:p>
        </w:tc>
        <w:tc>
          <w:tcPr>
            <w:tcW w:w="195" w:type="pct"/>
            <w:noWrap w:val="0"/>
            <w:vAlign w:val="center"/>
          </w:tcPr>
          <w:p w14:paraId="77BD73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default" w:ascii="仿宋_GB2312" w:hAnsi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2634" w:type="pct"/>
            <w:noWrap w:val="0"/>
            <w:vAlign w:val="center"/>
          </w:tcPr>
          <w:p w14:paraId="1DB52D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本级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牵头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开展跨部门联合随机抽查次数、户数及发现问题户数</w:t>
            </w:r>
          </w:p>
        </w:tc>
        <w:tc>
          <w:tcPr>
            <w:tcW w:w="1604" w:type="pct"/>
            <w:noWrap w:val="0"/>
            <w:vAlign w:val="center"/>
          </w:tcPr>
          <w:p w14:paraId="4B86D1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 w14:paraId="2811E3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565" w:type="pct"/>
            <w:vMerge w:val="continue"/>
            <w:noWrap w:val="0"/>
            <w:vAlign w:val="center"/>
          </w:tcPr>
          <w:p w14:paraId="373416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95" w:type="pct"/>
            <w:noWrap w:val="0"/>
            <w:vAlign w:val="center"/>
          </w:tcPr>
          <w:p w14:paraId="7ED13E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2634" w:type="pct"/>
            <w:noWrap w:val="0"/>
            <w:vAlign w:val="center"/>
          </w:tcPr>
          <w:p w14:paraId="42EB0E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本级利用信用风险分级分类开展随机抽查的次数、户数及发现问题户数</w:t>
            </w:r>
          </w:p>
        </w:tc>
        <w:tc>
          <w:tcPr>
            <w:tcW w:w="1604" w:type="pct"/>
            <w:noWrap w:val="0"/>
            <w:vAlign w:val="center"/>
          </w:tcPr>
          <w:p w14:paraId="761B03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 w14:paraId="1277B4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7" w:hRule="atLeast"/>
          <w:jc w:val="center"/>
        </w:trPr>
        <w:tc>
          <w:tcPr>
            <w:tcW w:w="565" w:type="pct"/>
            <w:vMerge w:val="continue"/>
            <w:noWrap w:val="0"/>
            <w:vAlign w:val="center"/>
          </w:tcPr>
          <w:p w14:paraId="7CCB63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95" w:type="pct"/>
            <w:noWrap w:val="0"/>
            <w:vAlign w:val="center"/>
          </w:tcPr>
          <w:p w14:paraId="08DF7F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2634" w:type="pct"/>
            <w:noWrap w:val="0"/>
            <w:vAlign w:val="center"/>
          </w:tcPr>
          <w:p w14:paraId="6387C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本级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完成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涉及企业的随机抽查次数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（抽查对象为企业）</w:t>
            </w:r>
          </w:p>
        </w:tc>
        <w:tc>
          <w:tcPr>
            <w:tcW w:w="1604" w:type="pct"/>
            <w:noWrap w:val="0"/>
            <w:vAlign w:val="center"/>
          </w:tcPr>
          <w:p w14:paraId="4C9361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 w14:paraId="528B1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565" w:type="pct"/>
            <w:vMerge w:val="continue"/>
            <w:noWrap w:val="0"/>
            <w:vAlign w:val="center"/>
          </w:tcPr>
          <w:p w14:paraId="72B701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95" w:type="pct"/>
            <w:noWrap w:val="0"/>
            <w:vAlign w:val="center"/>
          </w:tcPr>
          <w:p w14:paraId="187F0F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2634" w:type="pct"/>
            <w:noWrap w:val="0"/>
            <w:vAlign w:val="center"/>
          </w:tcPr>
          <w:p w14:paraId="0ED4E0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本级利用企业信用风险分级分类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完成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随机抽查的次数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、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户数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  <w:t>及发现问题户数</w:t>
            </w:r>
          </w:p>
        </w:tc>
        <w:tc>
          <w:tcPr>
            <w:tcW w:w="1604" w:type="pct"/>
            <w:noWrap w:val="0"/>
            <w:vAlign w:val="center"/>
          </w:tcPr>
          <w:p w14:paraId="5BF74FE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</w:p>
        </w:tc>
      </w:tr>
      <w:tr w14:paraId="3B2FA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565" w:type="pct"/>
            <w:vMerge w:val="continue"/>
            <w:noWrap w:val="0"/>
            <w:vAlign w:val="center"/>
          </w:tcPr>
          <w:p w14:paraId="211DA7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center"/>
              <w:textAlignment w:val="auto"/>
              <w:outlineLvl w:val="9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4434" w:type="pct"/>
            <w:gridSpan w:val="3"/>
            <w:noWrap w:val="0"/>
            <w:vAlign w:val="center"/>
          </w:tcPr>
          <w:p w14:paraId="2D7646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jc w:val="left"/>
              <w:textAlignment w:val="auto"/>
              <w:outlineLvl w:val="9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除第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val="en-US" w:eastAsia="zh-CN"/>
              </w:rPr>
              <w:t>2</w:t>
            </w:r>
            <w:r>
              <w:rPr>
                <w:rFonts w:hint="eastAsia" w:ascii="仿宋_GB2312" w:hAnsi="宋体" w:cs="宋体"/>
                <w:color w:val="000000"/>
                <w:sz w:val="28"/>
                <w:szCs w:val="28"/>
                <w:lang w:eastAsia="zh-CN"/>
              </w:rPr>
              <w:t>项外，其他次数均不统计省级派发任务</w:t>
            </w:r>
          </w:p>
        </w:tc>
      </w:tr>
    </w:tbl>
    <w:p w14:paraId="30D4D24C">
      <w:pPr>
        <w:ind w:firstLine="414" w:firstLineChars="150"/>
        <w:rPr>
          <w:rFonts w:hint="eastAsia" w:ascii="仿宋_GB2312" w:hAnsi="仿宋_GB2312" w:eastAsia="仿宋_GB2312" w:cs="仿宋_GB2312"/>
          <w:sz w:val="24"/>
          <w:szCs w:val="24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>联系人：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联系电话：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      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</w:rPr>
        <w:t xml:space="preserve"> 手机：</w:t>
      </w:r>
      <w:r>
        <w:rPr>
          <w:rFonts w:hint="eastAsia" w:ascii="Times New Roman" w:hAnsi="Times New Roman" w:eastAsia="仿宋_GB2312" w:cs="Times New Roman"/>
          <w:color w:val="000000"/>
          <w:sz w:val="28"/>
          <w:szCs w:val="28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28"/>
          <w:szCs w:val="28"/>
          <w:u w:val="single"/>
          <w:lang w:val="en-US" w:eastAsia="zh-CN"/>
        </w:rPr>
        <w:t xml:space="preserve">               </w:t>
      </w:r>
    </w:p>
    <w:p w14:paraId="3E44F1D3">
      <w:pPr>
        <w:keepNext w:val="0"/>
        <w:keepLines w:val="0"/>
        <w:pageBreakBefore w:val="0"/>
        <w:widowControl w:val="0"/>
        <w:tabs>
          <w:tab w:val="left" w:pos="8789"/>
        </w:tabs>
        <w:kinsoku/>
        <w:wordWrap/>
        <w:overflowPunct/>
        <w:topLinePunct w:val="0"/>
        <w:autoSpaceDE/>
        <w:autoSpaceDN/>
        <w:bidi w:val="0"/>
        <w:adjustRightInd/>
        <w:snapToGrid/>
        <w:ind w:right="316" w:rightChars="100"/>
        <w:textAlignment w:val="auto"/>
        <w:outlineLvl w:val="9"/>
      </w:pPr>
    </w:p>
    <w:sectPr>
      <w:footerReference r:id="rId5" w:type="first"/>
      <w:headerReference r:id="rId3" w:type="default"/>
      <w:footerReference r:id="rId4" w:type="default"/>
      <w:pgSz w:w="11906" w:h="16838"/>
      <w:pgMar w:top="2098" w:right="1474" w:bottom="1984" w:left="1588" w:header="851" w:footer="992" w:gutter="0"/>
      <w:pgNumType w:fmt="numberInDash"/>
      <w:cols w:space="720" w:num="1"/>
      <w:titlePg/>
      <w:rtlGutter w:val="0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altName w:val="楷体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56048F">
    <w:pPr>
      <w:snapToGrid w:val="0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832E9D">
                          <w:pPr>
                            <w:pStyle w:val="3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F832E9D">
                    <w:pPr>
                      <w:pStyle w:val="3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B58531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4A2E5A">
                          <w:pPr>
                            <w:pStyle w:val="3"/>
                            <w:rPr>
                              <w:rFonts w:hint="eastAsia" w:eastAsia="仿宋_GB2312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4A2E5A">
                    <w:pPr>
                      <w:pStyle w:val="3"/>
                      <w:rPr>
                        <w:rFonts w:hint="eastAsia" w:eastAsia="仿宋_GB2312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D03158"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9E33FA"/>
    <w:rsid w:val="002B7BE8"/>
    <w:rsid w:val="003C595E"/>
    <w:rsid w:val="00472305"/>
    <w:rsid w:val="00605D00"/>
    <w:rsid w:val="006B3926"/>
    <w:rsid w:val="00BA7927"/>
    <w:rsid w:val="00E30127"/>
    <w:rsid w:val="0168447B"/>
    <w:rsid w:val="020F40E0"/>
    <w:rsid w:val="02924738"/>
    <w:rsid w:val="02D652A3"/>
    <w:rsid w:val="030D0A67"/>
    <w:rsid w:val="030F2CC9"/>
    <w:rsid w:val="03615EF3"/>
    <w:rsid w:val="03620169"/>
    <w:rsid w:val="03FC7D4E"/>
    <w:rsid w:val="0405480D"/>
    <w:rsid w:val="048F3B13"/>
    <w:rsid w:val="049A1FCE"/>
    <w:rsid w:val="055350F7"/>
    <w:rsid w:val="05596100"/>
    <w:rsid w:val="055E77BD"/>
    <w:rsid w:val="05981DDE"/>
    <w:rsid w:val="05C63501"/>
    <w:rsid w:val="05CC1DA9"/>
    <w:rsid w:val="05D8166E"/>
    <w:rsid w:val="05E050C2"/>
    <w:rsid w:val="061A787D"/>
    <w:rsid w:val="068D67B5"/>
    <w:rsid w:val="06AC5709"/>
    <w:rsid w:val="06AF4331"/>
    <w:rsid w:val="06C7477F"/>
    <w:rsid w:val="073C368D"/>
    <w:rsid w:val="076370E2"/>
    <w:rsid w:val="07A06EA1"/>
    <w:rsid w:val="07B5603B"/>
    <w:rsid w:val="08307342"/>
    <w:rsid w:val="084A75B3"/>
    <w:rsid w:val="08954BD4"/>
    <w:rsid w:val="08972FB6"/>
    <w:rsid w:val="08CE4D63"/>
    <w:rsid w:val="0980278D"/>
    <w:rsid w:val="09F5050F"/>
    <w:rsid w:val="0AE82A54"/>
    <w:rsid w:val="0B0A62E0"/>
    <w:rsid w:val="0B2B6683"/>
    <w:rsid w:val="0C0835FE"/>
    <w:rsid w:val="0C47689F"/>
    <w:rsid w:val="0C691CE9"/>
    <w:rsid w:val="0C710579"/>
    <w:rsid w:val="0CF2590E"/>
    <w:rsid w:val="0D30010A"/>
    <w:rsid w:val="0D5D43CC"/>
    <w:rsid w:val="0D671457"/>
    <w:rsid w:val="0D996F1D"/>
    <w:rsid w:val="0DE93BAE"/>
    <w:rsid w:val="0E052790"/>
    <w:rsid w:val="0E3D4B36"/>
    <w:rsid w:val="0E787105"/>
    <w:rsid w:val="0EF10239"/>
    <w:rsid w:val="0F151C03"/>
    <w:rsid w:val="0F320465"/>
    <w:rsid w:val="0F613A9E"/>
    <w:rsid w:val="0F72136A"/>
    <w:rsid w:val="0F993B07"/>
    <w:rsid w:val="0FEB6582"/>
    <w:rsid w:val="1013783A"/>
    <w:rsid w:val="108018EE"/>
    <w:rsid w:val="10E128C5"/>
    <w:rsid w:val="10F176C2"/>
    <w:rsid w:val="11273879"/>
    <w:rsid w:val="11AB2E60"/>
    <w:rsid w:val="11DE345A"/>
    <w:rsid w:val="122F5B8B"/>
    <w:rsid w:val="123C74E4"/>
    <w:rsid w:val="124050FA"/>
    <w:rsid w:val="12625617"/>
    <w:rsid w:val="126653B1"/>
    <w:rsid w:val="126B2C23"/>
    <w:rsid w:val="129A20A2"/>
    <w:rsid w:val="12EC2BA7"/>
    <w:rsid w:val="131612D7"/>
    <w:rsid w:val="13B92C1F"/>
    <w:rsid w:val="13C32A0E"/>
    <w:rsid w:val="13F94444"/>
    <w:rsid w:val="141724AB"/>
    <w:rsid w:val="14395814"/>
    <w:rsid w:val="14540363"/>
    <w:rsid w:val="14581DFE"/>
    <w:rsid w:val="14BB2896"/>
    <w:rsid w:val="153D6540"/>
    <w:rsid w:val="15D60F72"/>
    <w:rsid w:val="15DA5B8C"/>
    <w:rsid w:val="15E70546"/>
    <w:rsid w:val="16502622"/>
    <w:rsid w:val="180A54EA"/>
    <w:rsid w:val="18715477"/>
    <w:rsid w:val="187E2367"/>
    <w:rsid w:val="18BF1989"/>
    <w:rsid w:val="193D6305"/>
    <w:rsid w:val="197E79C6"/>
    <w:rsid w:val="19804B43"/>
    <w:rsid w:val="1ABB1F78"/>
    <w:rsid w:val="1AC7098F"/>
    <w:rsid w:val="1B355229"/>
    <w:rsid w:val="1B3E21D5"/>
    <w:rsid w:val="1BDD3310"/>
    <w:rsid w:val="1C0C42DC"/>
    <w:rsid w:val="1C4E741A"/>
    <w:rsid w:val="1D2C18E6"/>
    <w:rsid w:val="1D601A28"/>
    <w:rsid w:val="1D8D5A5E"/>
    <w:rsid w:val="1D9E33FA"/>
    <w:rsid w:val="1DB569DD"/>
    <w:rsid w:val="1DE82F7C"/>
    <w:rsid w:val="1DEA4E4D"/>
    <w:rsid w:val="1DEB51A9"/>
    <w:rsid w:val="1E1F7053"/>
    <w:rsid w:val="1E660B76"/>
    <w:rsid w:val="1E9C317C"/>
    <w:rsid w:val="1EEE7162"/>
    <w:rsid w:val="1F3608EA"/>
    <w:rsid w:val="1FC20E98"/>
    <w:rsid w:val="205B2DD3"/>
    <w:rsid w:val="207B0419"/>
    <w:rsid w:val="20A52270"/>
    <w:rsid w:val="20C04997"/>
    <w:rsid w:val="20C97E0E"/>
    <w:rsid w:val="20CD7A80"/>
    <w:rsid w:val="20EB4666"/>
    <w:rsid w:val="20F43F21"/>
    <w:rsid w:val="20FE3A37"/>
    <w:rsid w:val="21420199"/>
    <w:rsid w:val="21582321"/>
    <w:rsid w:val="219D3139"/>
    <w:rsid w:val="21D671F0"/>
    <w:rsid w:val="21E41C84"/>
    <w:rsid w:val="221B255E"/>
    <w:rsid w:val="22657329"/>
    <w:rsid w:val="22772C70"/>
    <w:rsid w:val="228456AD"/>
    <w:rsid w:val="22B5370E"/>
    <w:rsid w:val="2327076B"/>
    <w:rsid w:val="23A64CB0"/>
    <w:rsid w:val="245F3579"/>
    <w:rsid w:val="246D6285"/>
    <w:rsid w:val="248F3A7E"/>
    <w:rsid w:val="24945256"/>
    <w:rsid w:val="24AC2D80"/>
    <w:rsid w:val="25154114"/>
    <w:rsid w:val="25281BDF"/>
    <w:rsid w:val="25DF01B4"/>
    <w:rsid w:val="25EA0378"/>
    <w:rsid w:val="26774A8B"/>
    <w:rsid w:val="26D40DE1"/>
    <w:rsid w:val="26D54682"/>
    <w:rsid w:val="2706567E"/>
    <w:rsid w:val="27697F09"/>
    <w:rsid w:val="279C7743"/>
    <w:rsid w:val="27EE59D5"/>
    <w:rsid w:val="280750D8"/>
    <w:rsid w:val="283E1DE9"/>
    <w:rsid w:val="28557F0F"/>
    <w:rsid w:val="286700EB"/>
    <w:rsid w:val="288F3C82"/>
    <w:rsid w:val="295F69B2"/>
    <w:rsid w:val="29A95DD0"/>
    <w:rsid w:val="29E6440F"/>
    <w:rsid w:val="2A882BD1"/>
    <w:rsid w:val="2AB4443F"/>
    <w:rsid w:val="2ACF2D95"/>
    <w:rsid w:val="2AF75BED"/>
    <w:rsid w:val="2B3F479C"/>
    <w:rsid w:val="2BD00AA5"/>
    <w:rsid w:val="2C4C2627"/>
    <w:rsid w:val="2C501877"/>
    <w:rsid w:val="2C5C2750"/>
    <w:rsid w:val="2D180638"/>
    <w:rsid w:val="2D3E2219"/>
    <w:rsid w:val="2D4B6EDD"/>
    <w:rsid w:val="2D7D696A"/>
    <w:rsid w:val="2DA520BC"/>
    <w:rsid w:val="2E9B2601"/>
    <w:rsid w:val="2EAB5FE9"/>
    <w:rsid w:val="2F9B125B"/>
    <w:rsid w:val="2FFF266D"/>
    <w:rsid w:val="30E13129"/>
    <w:rsid w:val="311154DC"/>
    <w:rsid w:val="3139076A"/>
    <w:rsid w:val="32281093"/>
    <w:rsid w:val="324D1852"/>
    <w:rsid w:val="32507DEB"/>
    <w:rsid w:val="328B0301"/>
    <w:rsid w:val="3398541B"/>
    <w:rsid w:val="33AA392F"/>
    <w:rsid w:val="33B15DED"/>
    <w:rsid w:val="33D73262"/>
    <w:rsid w:val="34226CBC"/>
    <w:rsid w:val="34521FAC"/>
    <w:rsid w:val="345706C9"/>
    <w:rsid w:val="34941AD1"/>
    <w:rsid w:val="34D13146"/>
    <w:rsid w:val="34F17A11"/>
    <w:rsid w:val="34F56055"/>
    <w:rsid w:val="351F3D63"/>
    <w:rsid w:val="35287D55"/>
    <w:rsid w:val="359025B9"/>
    <w:rsid w:val="36024517"/>
    <w:rsid w:val="364B269F"/>
    <w:rsid w:val="37100E67"/>
    <w:rsid w:val="37AC3574"/>
    <w:rsid w:val="37F02E5A"/>
    <w:rsid w:val="382E2835"/>
    <w:rsid w:val="3880147F"/>
    <w:rsid w:val="389934CC"/>
    <w:rsid w:val="38E766B7"/>
    <w:rsid w:val="38F076F7"/>
    <w:rsid w:val="38F122D4"/>
    <w:rsid w:val="38FF36C8"/>
    <w:rsid w:val="391466E1"/>
    <w:rsid w:val="39752F39"/>
    <w:rsid w:val="39BE60CE"/>
    <w:rsid w:val="39F012C5"/>
    <w:rsid w:val="3A255A1B"/>
    <w:rsid w:val="3A910EF7"/>
    <w:rsid w:val="3AB83344"/>
    <w:rsid w:val="3B3749AF"/>
    <w:rsid w:val="3B5C486F"/>
    <w:rsid w:val="3B707570"/>
    <w:rsid w:val="3B9B037E"/>
    <w:rsid w:val="3BC37D06"/>
    <w:rsid w:val="3C29298B"/>
    <w:rsid w:val="3CB11D49"/>
    <w:rsid w:val="3D6A0A1F"/>
    <w:rsid w:val="3D796E14"/>
    <w:rsid w:val="3DB11904"/>
    <w:rsid w:val="3DF95CE1"/>
    <w:rsid w:val="3E2813C5"/>
    <w:rsid w:val="3E555C09"/>
    <w:rsid w:val="3E7E13EA"/>
    <w:rsid w:val="3E83756A"/>
    <w:rsid w:val="3EAE7BE4"/>
    <w:rsid w:val="3EBE753B"/>
    <w:rsid w:val="3F0A0784"/>
    <w:rsid w:val="3F3B458C"/>
    <w:rsid w:val="3F637999"/>
    <w:rsid w:val="3F880B77"/>
    <w:rsid w:val="3FD83D31"/>
    <w:rsid w:val="4168556B"/>
    <w:rsid w:val="41EC38D3"/>
    <w:rsid w:val="4253656D"/>
    <w:rsid w:val="42EE55D9"/>
    <w:rsid w:val="431A7D9D"/>
    <w:rsid w:val="43252FBA"/>
    <w:rsid w:val="43337D55"/>
    <w:rsid w:val="436C6CF1"/>
    <w:rsid w:val="439F63ED"/>
    <w:rsid w:val="446500FD"/>
    <w:rsid w:val="44796BDF"/>
    <w:rsid w:val="44B13B8E"/>
    <w:rsid w:val="44E1255E"/>
    <w:rsid w:val="452303CD"/>
    <w:rsid w:val="457D5B0A"/>
    <w:rsid w:val="45BA486C"/>
    <w:rsid w:val="461A1A3A"/>
    <w:rsid w:val="465B49AB"/>
    <w:rsid w:val="468E6CF5"/>
    <w:rsid w:val="46A006BD"/>
    <w:rsid w:val="47420A6A"/>
    <w:rsid w:val="47622864"/>
    <w:rsid w:val="483D1946"/>
    <w:rsid w:val="48432C7C"/>
    <w:rsid w:val="48693610"/>
    <w:rsid w:val="488813F9"/>
    <w:rsid w:val="489F062E"/>
    <w:rsid w:val="48C52E75"/>
    <w:rsid w:val="493034F7"/>
    <w:rsid w:val="498939B0"/>
    <w:rsid w:val="4A0E696A"/>
    <w:rsid w:val="4A187393"/>
    <w:rsid w:val="4A374772"/>
    <w:rsid w:val="4AED5297"/>
    <w:rsid w:val="4B5D65ED"/>
    <w:rsid w:val="4B8478BF"/>
    <w:rsid w:val="4C530DC4"/>
    <w:rsid w:val="4C5A7383"/>
    <w:rsid w:val="4C8402DE"/>
    <w:rsid w:val="4C8B61F4"/>
    <w:rsid w:val="4C972B3B"/>
    <w:rsid w:val="4CAE2207"/>
    <w:rsid w:val="4CB17671"/>
    <w:rsid w:val="4D414BC6"/>
    <w:rsid w:val="4D6F76CD"/>
    <w:rsid w:val="4E735520"/>
    <w:rsid w:val="4EF2370B"/>
    <w:rsid w:val="4EF86C39"/>
    <w:rsid w:val="4F16332A"/>
    <w:rsid w:val="4F2325DF"/>
    <w:rsid w:val="4F3A661B"/>
    <w:rsid w:val="4FB81B07"/>
    <w:rsid w:val="4FCA62D2"/>
    <w:rsid w:val="50165F0E"/>
    <w:rsid w:val="50421D13"/>
    <w:rsid w:val="50514D01"/>
    <w:rsid w:val="50873849"/>
    <w:rsid w:val="50B64C26"/>
    <w:rsid w:val="51494B83"/>
    <w:rsid w:val="51940017"/>
    <w:rsid w:val="522C17DA"/>
    <w:rsid w:val="52570AF6"/>
    <w:rsid w:val="52D74A3B"/>
    <w:rsid w:val="52E7704E"/>
    <w:rsid w:val="530048C9"/>
    <w:rsid w:val="53426BFC"/>
    <w:rsid w:val="535934DC"/>
    <w:rsid w:val="538C1EDF"/>
    <w:rsid w:val="53AC06D6"/>
    <w:rsid w:val="5431295F"/>
    <w:rsid w:val="54813274"/>
    <w:rsid w:val="553C6A08"/>
    <w:rsid w:val="55C21C60"/>
    <w:rsid w:val="55D9486E"/>
    <w:rsid w:val="55EE2793"/>
    <w:rsid w:val="562B125A"/>
    <w:rsid w:val="56305CAC"/>
    <w:rsid w:val="566E3E85"/>
    <w:rsid w:val="57037153"/>
    <w:rsid w:val="571D03FA"/>
    <w:rsid w:val="572C6DF3"/>
    <w:rsid w:val="576245C5"/>
    <w:rsid w:val="577D1E97"/>
    <w:rsid w:val="57C47228"/>
    <w:rsid w:val="57D7326D"/>
    <w:rsid w:val="57F046EF"/>
    <w:rsid w:val="57F160DA"/>
    <w:rsid w:val="57F16999"/>
    <w:rsid w:val="57F4508A"/>
    <w:rsid w:val="59485575"/>
    <w:rsid w:val="5A571C06"/>
    <w:rsid w:val="5A8D10D5"/>
    <w:rsid w:val="5AC4536D"/>
    <w:rsid w:val="5B131AEC"/>
    <w:rsid w:val="5B3900B2"/>
    <w:rsid w:val="5BCA6187"/>
    <w:rsid w:val="5BE4666B"/>
    <w:rsid w:val="5C3645EF"/>
    <w:rsid w:val="5C6511C9"/>
    <w:rsid w:val="5D5618AB"/>
    <w:rsid w:val="5D7E6326"/>
    <w:rsid w:val="5D8F67C8"/>
    <w:rsid w:val="5DC6510E"/>
    <w:rsid w:val="5DDB6DFB"/>
    <w:rsid w:val="5E0B02E1"/>
    <w:rsid w:val="5E7B57D9"/>
    <w:rsid w:val="5E8D3486"/>
    <w:rsid w:val="5EAF0A7B"/>
    <w:rsid w:val="5F1F2391"/>
    <w:rsid w:val="6029490C"/>
    <w:rsid w:val="605964F3"/>
    <w:rsid w:val="60E41E0C"/>
    <w:rsid w:val="60F67D0F"/>
    <w:rsid w:val="61A96E91"/>
    <w:rsid w:val="61B43AEF"/>
    <w:rsid w:val="61D6183D"/>
    <w:rsid w:val="61EB7634"/>
    <w:rsid w:val="627E0A20"/>
    <w:rsid w:val="62C95A86"/>
    <w:rsid w:val="62FA59FC"/>
    <w:rsid w:val="631D3A74"/>
    <w:rsid w:val="64046334"/>
    <w:rsid w:val="6426420A"/>
    <w:rsid w:val="646B716D"/>
    <w:rsid w:val="64EF4633"/>
    <w:rsid w:val="653E7F69"/>
    <w:rsid w:val="65BF1FE7"/>
    <w:rsid w:val="65DF51A2"/>
    <w:rsid w:val="66A216BB"/>
    <w:rsid w:val="66C17BD4"/>
    <w:rsid w:val="6724569A"/>
    <w:rsid w:val="67F12861"/>
    <w:rsid w:val="68190C98"/>
    <w:rsid w:val="685B78D6"/>
    <w:rsid w:val="68695786"/>
    <w:rsid w:val="68F633E7"/>
    <w:rsid w:val="68FA5D95"/>
    <w:rsid w:val="691C0E7C"/>
    <w:rsid w:val="697951EC"/>
    <w:rsid w:val="69873C3D"/>
    <w:rsid w:val="69F34BE0"/>
    <w:rsid w:val="6A0E5B5A"/>
    <w:rsid w:val="6A897648"/>
    <w:rsid w:val="6AA53C30"/>
    <w:rsid w:val="6AC17BEF"/>
    <w:rsid w:val="6B02724A"/>
    <w:rsid w:val="6B0C435A"/>
    <w:rsid w:val="6BCC70E0"/>
    <w:rsid w:val="6C336AF3"/>
    <w:rsid w:val="6C523992"/>
    <w:rsid w:val="6C7873CD"/>
    <w:rsid w:val="6C831CE9"/>
    <w:rsid w:val="6D5C028E"/>
    <w:rsid w:val="6D7D7B61"/>
    <w:rsid w:val="6DBE66ED"/>
    <w:rsid w:val="6E4776B4"/>
    <w:rsid w:val="6E4D2F86"/>
    <w:rsid w:val="6E606EED"/>
    <w:rsid w:val="6E7256B6"/>
    <w:rsid w:val="6EB529DA"/>
    <w:rsid w:val="6EB94E2D"/>
    <w:rsid w:val="6EF75760"/>
    <w:rsid w:val="6F4216AD"/>
    <w:rsid w:val="70204EC1"/>
    <w:rsid w:val="707368E2"/>
    <w:rsid w:val="70A80484"/>
    <w:rsid w:val="70BC3DC9"/>
    <w:rsid w:val="710D49B0"/>
    <w:rsid w:val="71433078"/>
    <w:rsid w:val="717071A3"/>
    <w:rsid w:val="71771959"/>
    <w:rsid w:val="71F5007F"/>
    <w:rsid w:val="71F63BB0"/>
    <w:rsid w:val="71F7494D"/>
    <w:rsid w:val="72572E00"/>
    <w:rsid w:val="72837B05"/>
    <w:rsid w:val="72A21CC6"/>
    <w:rsid w:val="730D4810"/>
    <w:rsid w:val="7332404F"/>
    <w:rsid w:val="73324DB2"/>
    <w:rsid w:val="734227A6"/>
    <w:rsid w:val="735263D5"/>
    <w:rsid w:val="736E6712"/>
    <w:rsid w:val="739B2BE5"/>
    <w:rsid w:val="74030A2F"/>
    <w:rsid w:val="741D3D1E"/>
    <w:rsid w:val="74227310"/>
    <w:rsid w:val="746A3D58"/>
    <w:rsid w:val="74C73BC6"/>
    <w:rsid w:val="756B6A97"/>
    <w:rsid w:val="75F14DA3"/>
    <w:rsid w:val="7612639C"/>
    <w:rsid w:val="76127D19"/>
    <w:rsid w:val="76197E9C"/>
    <w:rsid w:val="7632341C"/>
    <w:rsid w:val="765469B7"/>
    <w:rsid w:val="766619E3"/>
    <w:rsid w:val="76925989"/>
    <w:rsid w:val="76A34528"/>
    <w:rsid w:val="770E0DC0"/>
    <w:rsid w:val="77173A43"/>
    <w:rsid w:val="77426B0F"/>
    <w:rsid w:val="775B7035"/>
    <w:rsid w:val="77C93245"/>
    <w:rsid w:val="77D74853"/>
    <w:rsid w:val="77E93EF1"/>
    <w:rsid w:val="77EA74C5"/>
    <w:rsid w:val="78DB7390"/>
    <w:rsid w:val="78F61868"/>
    <w:rsid w:val="79C734B0"/>
    <w:rsid w:val="79E9511C"/>
    <w:rsid w:val="79F63B0B"/>
    <w:rsid w:val="7A071A15"/>
    <w:rsid w:val="7A994405"/>
    <w:rsid w:val="7AA43029"/>
    <w:rsid w:val="7AD20BFF"/>
    <w:rsid w:val="7AEF78AC"/>
    <w:rsid w:val="7B7E40DE"/>
    <w:rsid w:val="7BF0279E"/>
    <w:rsid w:val="7C82669C"/>
    <w:rsid w:val="7CD72D44"/>
    <w:rsid w:val="7D1C5628"/>
    <w:rsid w:val="7E3E31E6"/>
    <w:rsid w:val="7E870BF3"/>
    <w:rsid w:val="7E9F49EB"/>
    <w:rsid w:val="7EE819E3"/>
    <w:rsid w:val="7F606078"/>
    <w:rsid w:val="7F887788"/>
    <w:rsid w:val="7F9A4214"/>
    <w:rsid w:val="7FD339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qFormat="1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TML Variable"/>
    <w:basedOn w:val="6"/>
    <w:unhideWhenUsed/>
    <w:qFormat/>
    <w:uiPriority w:val="0"/>
    <w:rPr>
      <w:i/>
      <w:iCs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4082</Words>
  <Characters>4157</Characters>
  <Lines>0</Lines>
  <Paragraphs>0</Paragraphs>
  <TotalTime>5</TotalTime>
  <ScaleCrop>false</ScaleCrop>
  <LinksUpToDate>false</LinksUpToDate>
  <CharactersWithSpaces>4282</CharactersWithSpaces>
  <Application>WPS Office_12.1.0.24031_F1E327BC-269C-435d-A152-05C5408002CA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2022-01-17T01:37:00Z</dcterms:created>
  <dc:creator>赵璞</dc:creator>
  <cp:lastModifiedBy>苏健</cp:lastModifiedBy>
  <cp:lastPrinted>2026-01-04T00:47:46Z</cp:lastPrinted>
  <dcterms:modified xsi:type="dcterms:W3CDTF">2026-01-04T00:47:53Z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2052-12.1.0.24031</vt:lpwstr>
  </property>
  <property fmtid="{D5CDD505-2E9C-101B-9397-08002B2CF9AE}" pid="3" name="KSOTemplateDocerSaveRecord">
    <vt:lpwstr>eyJoZGlkIjoiODgxOTEzYjNiODM0YzA5NzgxMmY5NjYxMjZhOWZmYTYiLCJ1c2VySWQiOiIyNjUxNDExODYifQ==</vt:lpwstr>
  </property>
  <property fmtid="{D5CDD505-2E9C-101B-9397-08002B2CF9AE}" pid="4" name="ICV">
    <vt:lpwstr>F595792672CA4D988292CF0CDC5D0C0C_12</vt:lpwstr>
  </property>
</Properties>
</file>