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99002E">
      <w:pPr>
        <w:keepNext w:val="0"/>
        <w:keepLines w:val="0"/>
        <w:pageBreakBefore w:val="0"/>
        <w:kinsoku/>
        <w:wordWrap/>
        <w:overflowPunct/>
        <w:topLinePunct w:val="0"/>
        <w:bidi w:val="0"/>
        <w:spacing w:line="440" w:lineRule="exact"/>
        <w:jc w:val="center"/>
        <w:textAlignment w:val="auto"/>
        <w:outlineLvl w:val="0"/>
        <w:rPr>
          <w:rFonts w:hint="eastAsia" w:ascii="方正小标宋简体" w:hAnsi="方正小标宋简体" w:eastAsia="方正小标宋简体" w:cs="方正小标宋简体"/>
          <w:bCs/>
          <w:sz w:val="44"/>
          <w:szCs w:val="44"/>
          <w:u w:val="single"/>
        </w:rPr>
      </w:pPr>
    </w:p>
    <w:p w14:paraId="27CB170C">
      <w:pPr>
        <w:keepNext w:val="0"/>
        <w:keepLines w:val="0"/>
        <w:pageBreakBefore w:val="0"/>
        <w:kinsoku/>
        <w:wordWrap/>
        <w:overflowPunct/>
        <w:topLinePunct w:val="0"/>
        <w:bidi w:val="0"/>
        <w:spacing w:line="440" w:lineRule="exact"/>
        <w:jc w:val="center"/>
        <w:textAlignment w:val="auto"/>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平山县</w:t>
      </w:r>
      <w:r>
        <w:rPr>
          <w:rFonts w:hint="eastAsia" w:ascii="方正小标宋简体" w:hAnsi="方正小标宋简体" w:eastAsia="方正小标宋简体" w:cs="方正小标宋简体"/>
          <w:bCs/>
          <w:sz w:val="44"/>
          <w:szCs w:val="44"/>
        </w:rPr>
        <w:t>市场监督管理局</w:t>
      </w:r>
    </w:p>
    <w:p w14:paraId="190495A8">
      <w:pPr>
        <w:keepNext w:val="0"/>
        <w:keepLines w:val="0"/>
        <w:pageBreakBefore w:val="0"/>
        <w:kinsoku/>
        <w:wordWrap/>
        <w:overflowPunct/>
        <w:topLinePunct w:val="0"/>
        <w:bidi w:val="0"/>
        <w:spacing w:line="440" w:lineRule="exact"/>
        <w:jc w:val="center"/>
        <w:textAlignment w:val="auto"/>
        <w:outlineLvl w:val="0"/>
        <w:rPr>
          <w:rFonts w:ascii="Times New Roman" w:hAnsi="Times New Roman" w:eastAsia="方正小标宋简体" w:cs="Mongolian Baiti"/>
          <w:bCs/>
          <w:color w:val="000000"/>
          <w:sz w:val="40"/>
          <w:szCs w:val="40"/>
        </w:rPr>
      </w:pPr>
      <w:r>
        <w:rPr>
          <w:rFonts w:hint="eastAsia" w:ascii="Times New Roman" w:hAnsi="Mongolian Baiti" w:eastAsia="方正小标宋简体" w:cs="Mongolian Baiti"/>
          <w:bCs/>
          <w:color w:val="000000"/>
          <w:sz w:val="44"/>
          <w:szCs w:val="44"/>
          <w:lang w:val="en-US" w:eastAsia="zh-CN"/>
        </w:rPr>
        <w:t xml:space="preserve"> </w:t>
      </w:r>
      <w:r>
        <w:rPr>
          <w:rFonts w:ascii="Times New Roman" w:hAnsi="Mongolian Baiti" w:eastAsia="方正小标宋简体" w:cs="Mongolian Baiti"/>
          <w:bCs/>
          <w:color w:val="000000"/>
          <w:sz w:val="44"/>
          <w:szCs w:val="44"/>
        </w:rPr>
        <w:t>行政处罚决定书</w:t>
      </w:r>
    </w:p>
    <w:p w14:paraId="5E80D61A">
      <w:pPr>
        <w:keepNext w:val="0"/>
        <w:keepLines w:val="0"/>
        <w:pageBreakBefore w:val="0"/>
        <w:kinsoku/>
        <w:wordWrap/>
        <w:overflowPunct/>
        <w:topLinePunct w:val="0"/>
        <w:bidi w:val="0"/>
        <w:spacing w:line="440" w:lineRule="exact"/>
        <w:jc w:val="center"/>
        <w:textAlignment w:val="auto"/>
        <w:outlineLvl w:val="0"/>
        <w:rPr>
          <w:rFonts w:hint="eastAsia" w:ascii="仿宋" w:hAnsi="仿宋" w:eastAsia="仿宋" w:cs="仿宋"/>
          <w:bCs/>
          <w:color w:val="000000"/>
          <w:sz w:val="32"/>
          <w:szCs w:val="32"/>
          <w:u w:val="single"/>
        </w:rPr>
      </w:pPr>
    </w:p>
    <w:p w14:paraId="3C029B7A">
      <w:pPr>
        <w:keepNext w:val="0"/>
        <w:keepLines w:val="0"/>
        <w:pageBreakBefore w:val="0"/>
        <w:kinsoku/>
        <w:wordWrap/>
        <w:overflowPunct/>
        <w:topLinePunct w:val="0"/>
        <w:bidi w:val="0"/>
        <w:spacing w:line="440" w:lineRule="exact"/>
        <w:jc w:val="center"/>
        <w:textAlignment w:val="auto"/>
        <w:outlineLvl w:val="0"/>
        <w:rPr>
          <w:rFonts w:hint="eastAsia" w:ascii="仿宋" w:hAnsi="仿宋" w:eastAsia="仿宋" w:cs="仿宋"/>
          <w:bCs/>
          <w:color w:val="000000"/>
          <w:sz w:val="32"/>
          <w:szCs w:val="32"/>
        </w:rPr>
      </w:pPr>
      <w:r>
        <w:rPr>
          <w:rFonts w:hint="eastAsia" w:ascii="仿宋" w:hAnsi="仿宋" w:eastAsia="仿宋" w:cs="仿宋"/>
          <w:bCs/>
          <w:color w:val="000000"/>
          <w:sz w:val="32"/>
          <w:szCs w:val="32"/>
          <w:u w:val="single"/>
        </w:rPr>
        <w:t>平</w:t>
      </w:r>
      <w:r>
        <w:rPr>
          <w:rFonts w:hint="eastAsia" w:ascii="仿宋" w:hAnsi="仿宋" w:eastAsia="仿宋" w:cs="仿宋"/>
          <w:bCs/>
          <w:color w:val="000000"/>
          <w:sz w:val="32"/>
          <w:szCs w:val="32"/>
        </w:rPr>
        <w:t>市监处罚〔202</w:t>
      </w:r>
      <w:r>
        <w:rPr>
          <w:rFonts w:hint="eastAsia" w:ascii="仿宋" w:hAnsi="仿宋" w:eastAsia="仿宋" w:cs="仿宋"/>
          <w:bCs/>
          <w:color w:val="000000"/>
          <w:sz w:val="32"/>
          <w:szCs w:val="32"/>
          <w:lang w:val="en-US" w:eastAsia="zh-CN"/>
        </w:rPr>
        <w:t>5</w:t>
      </w:r>
      <w:r>
        <w:rPr>
          <w:rFonts w:hint="eastAsia" w:ascii="仿宋" w:hAnsi="仿宋" w:eastAsia="仿宋" w:cs="仿宋"/>
          <w:bCs/>
          <w:color w:val="000000"/>
          <w:sz w:val="32"/>
          <w:szCs w:val="32"/>
        </w:rPr>
        <w:t>〕</w:t>
      </w:r>
      <w:r>
        <w:rPr>
          <w:rFonts w:hint="eastAsia" w:ascii="仿宋" w:hAnsi="仿宋" w:eastAsia="仿宋" w:cs="仿宋"/>
          <w:bCs/>
          <w:color w:val="000000"/>
          <w:sz w:val="32"/>
          <w:szCs w:val="32"/>
          <w:lang w:val="en-US" w:eastAsia="zh-CN"/>
        </w:rPr>
        <w:t>72</w:t>
      </w:r>
      <w:r>
        <w:rPr>
          <w:rFonts w:hint="eastAsia" w:ascii="仿宋" w:hAnsi="仿宋" w:eastAsia="仿宋" w:cs="仿宋"/>
          <w:bCs/>
          <w:color w:val="000000"/>
          <w:sz w:val="32"/>
          <w:szCs w:val="32"/>
        </w:rPr>
        <w:t>号</w:t>
      </w:r>
    </w:p>
    <w:p w14:paraId="60FC74F7">
      <w:pPr>
        <w:keepNext w:val="0"/>
        <w:keepLines w:val="0"/>
        <w:pageBreakBefore w:val="0"/>
        <w:kinsoku/>
        <w:wordWrap/>
        <w:overflowPunct/>
        <w:topLinePunct w:val="0"/>
        <w:bidi w:val="0"/>
        <w:spacing w:line="440" w:lineRule="exact"/>
        <w:jc w:val="center"/>
        <w:textAlignment w:val="auto"/>
        <w:outlineLvl w:val="0"/>
        <w:rPr>
          <w:rFonts w:hint="eastAsia" w:ascii="仿宋_GB2312" w:hAnsi="仿宋_GB2312" w:eastAsia="仿宋_GB2312" w:cs="仿宋_GB2312"/>
          <w:kern w:val="0"/>
          <w:sz w:val="32"/>
          <w:szCs w:val="32"/>
          <w:highlight w:val="none"/>
          <w:u w:val="single"/>
          <w:shd w:val="clear" w:color="auto" w:fill="auto"/>
          <w:lang w:val="en-US" w:eastAsia="zh-CN" w:bidi="ar-SA"/>
        </w:rPr>
      </w:pPr>
      <w:r>
        <w:rPr>
          <w:rFonts w:hint="eastAsia" w:ascii="方正小标宋简体" w:hAnsi="方正小标宋简体" w:eastAsia="方正小标宋简体" w:cs="方正小标宋简体"/>
          <w:bCs/>
          <w:sz w:val="40"/>
          <w:szCs w:val="40"/>
          <w:u w:val="none"/>
          <w:lang w:val="en-US" w:eastAsia="zh-CN"/>
        </w:rPr>
        <w:t xml:space="preserve">                     </w:t>
      </w:r>
      <w:r>
        <w:rPr>
          <w:rFonts w:hint="eastAsia" w:ascii="方正小标宋简体" w:hAnsi="方正小标宋简体" w:eastAsia="方正小标宋简体" w:cs="方正小标宋简体"/>
          <w:bCs/>
          <w:sz w:val="40"/>
          <w:szCs w:val="40"/>
          <w:u w:val="single"/>
          <w:lang w:val="en-US" w:eastAsia="zh-CN"/>
        </w:rPr>
        <w:t xml:space="preserve">                                                                                                                                                                                                                                                                                                                                                                                                                                                                                                                                                                                                                                                                                                                                                                                                                                                                                                                                                                                                                                </w:t>
      </w:r>
      <w:r>
        <w:rPr>
          <w:rFonts w:hint="eastAsia" w:ascii="仿宋" w:hAnsi="仿宋" w:eastAsia="仿宋" w:cs="仿宋"/>
          <w:color w:val="000000"/>
          <w:sz w:val="32"/>
          <w:szCs w:val="32"/>
        </w:rPr>
        <mc:AlternateContent>
          <mc:Choice Requires="wps">
            <w:drawing>
              <wp:anchor distT="0" distB="0" distL="114300" distR="114300" simplePos="0" relativeHeight="251659264"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5" name="直接箭头连接符 5"/>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a:effectLst/>
                      </wps:spPr>
                      <wps:txbx>
                        <w:txbxContent>
                          <w:p w14:paraId="62467591">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659264;mso-width-relative:page;mso-height-relative:page;" filled="f" stroked="t" coordsize="21600,21600" o:allowoverlap="f" o:gfxdata="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&#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OCstb/WAAAADAEAAA8AAAAAAAAAAQAgAAAAIgAAAGRy&#10;cy9kb3ducmV2LnhtbFBLAQIUABQAAAAIAIdO4kCfBgRPBwIAAAYEAAAOAAAAAAAAAAEAIAAAACUB&#10;AABkcnMvZTJvRG9jLnhtbFBLBQYAAAAABgAGAFkBAACeBQAAAAA=&#10;">
                <v:fill on="f" focussize="0,0"/>
                <v:stroke weight="1.5pt" color="#000000" joinstyle="round"/>
                <v:imagedata o:title=""/>
                <o:lock v:ext="edit" aspectratio="f"/>
                <v:textbox>
                  <w:txbxContent>
                    <w:p w14:paraId="62467591">
                      <w:pPr>
                        <w:wordWrap w:val="0"/>
                        <w:rPr>
                          <w:rFonts w:ascii="宋体" w:hAnsi="宋体"/>
                          <w:sz w:val="20"/>
                          <w:szCs w:val="20"/>
                        </w:rPr>
                      </w:pPr>
                    </w:p>
                  </w:txbxContent>
                </v:textbox>
              </v:shape>
            </w:pict>
          </mc:Fallback>
        </mc:AlternateContent>
      </w:r>
      <w:r>
        <w:rPr>
          <w:rFonts w:hint="eastAsia" w:ascii="方正小标宋简体" w:hAnsi="方正小标宋简体" w:eastAsia="方正小标宋简体" w:cs="方正小标宋简体"/>
          <w:bCs/>
          <w:sz w:val="40"/>
          <w:szCs w:val="40"/>
          <w:u w:val="single"/>
          <w:lang w:val="en-US" w:eastAsia="zh-CN"/>
        </w:rPr>
        <w:t xml:space="preserve">    </w:t>
      </w: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                             </w:t>
      </w:r>
    </w:p>
    <w:p w14:paraId="205F2BE3">
      <w:pPr>
        <w:keepNext w:val="0"/>
        <w:keepLines w:val="0"/>
        <w:pageBreakBefore w:val="0"/>
        <w:kinsoku/>
        <w:wordWrap/>
        <w:overflowPunct/>
        <w:topLinePunct w:val="0"/>
        <w:bidi w:val="0"/>
        <w:spacing w:line="480" w:lineRule="exact"/>
        <w:textAlignment w:val="auto"/>
        <w:rPr>
          <w:rFonts w:hint="eastAsia" w:ascii="仿宋_GB2312" w:hAnsi="仿宋_GB2312" w:eastAsia="仿宋_GB2312" w:cs="仿宋_GB2312"/>
          <w:kern w:val="0"/>
          <w:sz w:val="32"/>
          <w:szCs w:val="32"/>
          <w:highlight w:val="none"/>
          <w:u w:val="single"/>
          <w:shd w:val="clear" w:color="auto" w:fill="auto"/>
          <w:lang w:val="en-US" w:eastAsia="zh-CN" w:bidi="ar-SA"/>
        </w:rPr>
      </w:pPr>
      <w:r>
        <w:rPr>
          <w:rFonts w:hint="eastAsia" w:ascii="仿宋" w:hAnsi="仿宋" w:eastAsia="仿宋" w:cs="仿宋"/>
          <w:bCs/>
          <w:kern w:val="1"/>
          <w:sz w:val="36"/>
          <w:szCs w:val="36"/>
        </w:rPr>
        <w:t>当</w:t>
      </w:r>
      <w:r>
        <w:rPr>
          <w:rFonts w:hint="eastAsia" w:ascii="仿宋" w:hAnsi="仿宋" w:eastAsia="仿宋" w:cs="仿宋"/>
          <w:bCs/>
          <w:kern w:val="1"/>
          <w:sz w:val="32"/>
          <w:szCs w:val="32"/>
        </w:rPr>
        <w:t>事人：</w:t>
      </w: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 平山县福多满饭店 （封明琴）         </w:t>
      </w:r>
    </w:p>
    <w:p w14:paraId="2B15BD63">
      <w:pPr>
        <w:keepNext w:val="0"/>
        <w:keepLines w:val="0"/>
        <w:pageBreakBefore w:val="0"/>
        <w:kinsoku/>
        <w:wordWrap/>
        <w:overflowPunct/>
        <w:topLinePunct w:val="0"/>
        <w:bidi w:val="0"/>
        <w:spacing w:line="480" w:lineRule="exact"/>
        <w:ind w:left="140" w:hanging="140"/>
        <w:textAlignment w:val="auto"/>
        <w:rPr>
          <w:rFonts w:hint="eastAsia" w:ascii="仿宋_GB2312" w:hAnsi="仿宋_GB2312" w:eastAsia="仿宋_GB2312" w:cs="仿宋_GB2312"/>
          <w:kern w:val="0"/>
          <w:sz w:val="32"/>
          <w:szCs w:val="32"/>
          <w:highlight w:val="none"/>
          <w:u w:val="single"/>
          <w:shd w:val="clear" w:color="auto" w:fill="auto"/>
          <w:lang w:val="en-US" w:eastAsia="zh-CN" w:bidi="ar-SA"/>
        </w:rPr>
      </w:pPr>
      <w:r>
        <w:rPr>
          <w:rFonts w:hint="eastAsia" w:ascii="仿宋_GB2312" w:hAnsi="仿宋_GB2312" w:eastAsia="仿宋_GB2312" w:cs="仿宋_GB2312"/>
          <w:kern w:val="0"/>
          <w:sz w:val="32"/>
          <w:szCs w:val="32"/>
          <w:highlight w:val="none"/>
          <w:u w:val="none"/>
          <w:shd w:val="clear" w:color="auto" w:fill="auto"/>
          <w:lang w:val="en-US" w:eastAsia="zh-CN" w:bidi="ar-SA"/>
        </w:rPr>
        <w:t>主体资格证照名称：</w:t>
      </w: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营业执照                                   </w:t>
      </w:r>
    </w:p>
    <w:p w14:paraId="0D74953B">
      <w:pPr>
        <w:keepNext w:val="0"/>
        <w:keepLines w:val="0"/>
        <w:pageBreakBefore w:val="0"/>
        <w:kinsoku/>
        <w:wordWrap/>
        <w:overflowPunct/>
        <w:topLinePunct w:val="0"/>
        <w:bidi w:val="0"/>
        <w:spacing w:line="480" w:lineRule="exact"/>
        <w:ind w:left="140" w:hanging="140"/>
        <w:textAlignment w:val="auto"/>
        <w:rPr>
          <w:rFonts w:hint="eastAsia" w:ascii="仿宋_GB2312" w:hAnsi="仿宋_GB2312" w:eastAsia="仿宋_GB2312" w:cs="仿宋_GB2312"/>
          <w:kern w:val="0"/>
          <w:sz w:val="32"/>
          <w:szCs w:val="32"/>
          <w:highlight w:val="none"/>
          <w:u w:val="single"/>
          <w:shd w:val="clear" w:color="auto" w:fill="auto"/>
          <w:lang w:val="en-US" w:eastAsia="zh-CN" w:bidi="ar-SA"/>
        </w:rPr>
      </w:pPr>
      <w:r>
        <w:rPr>
          <w:rFonts w:hint="eastAsia" w:ascii="仿宋_GB2312" w:hAnsi="仿宋_GB2312" w:eastAsia="仿宋_GB2312" w:cs="仿宋_GB2312"/>
          <w:kern w:val="0"/>
          <w:sz w:val="32"/>
          <w:szCs w:val="32"/>
          <w:highlight w:val="none"/>
          <w:u w:val="none"/>
          <w:shd w:val="clear" w:color="auto" w:fill="auto"/>
          <w:lang w:val="en-US" w:eastAsia="zh-CN" w:bidi="ar-SA"/>
        </w:rPr>
        <w:t>统一社会信用代码：</w:t>
      </w: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92130131MA0EJ41E5Q                              </w:t>
      </w:r>
    </w:p>
    <w:p w14:paraId="41552A94">
      <w:pPr>
        <w:keepNext w:val="0"/>
        <w:keepLines w:val="0"/>
        <w:pageBreakBefore w:val="0"/>
        <w:kinsoku/>
        <w:wordWrap/>
        <w:overflowPunct/>
        <w:topLinePunct w:val="0"/>
        <w:bidi w:val="0"/>
        <w:spacing w:line="480" w:lineRule="exact"/>
        <w:ind w:left="140" w:hanging="140"/>
        <w:textAlignment w:val="auto"/>
        <w:rPr>
          <w:rFonts w:hint="default" w:ascii="仿宋_GB2312" w:hAnsi="仿宋_GB2312" w:eastAsia="仿宋_GB2312" w:cs="仿宋_GB2312"/>
          <w:kern w:val="0"/>
          <w:sz w:val="32"/>
          <w:szCs w:val="32"/>
          <w:highlight w:val="none"/>
          <w:u w:val="single"/>
          <w:shd w:val="clear" w:color="auto" w:fill="auto"/>
          <w:lang w:val="en-US" w:eastAsia="zh-CN" w:bidi="ar-SA"/>
        </w:rPr>
      </w:pPr>
      <w:r>
        <w:rPr>
          <w:rFonts w:hint="eastAsia" w:ascii="仿宋_GB2312" w:hAnsi="仿宋_GB2312" w:eastAsia="仿宋_GB2312" w:cs="仿宋_GB2312"/>
          <w:kern w:val="0"/>
          <w:sz w:val="32"/>
          <w:szCs w:val="32"/>
          <w:highlight w:val="none"/>
          <w:u w:val="none"/>
          <w:shd w:val="clear" w:color="auto" w:fill="auto"/>
          <w:lang w:val="en-US" w:eastAsia="zh-CN" w:bidi="ar-SA"/>
        </w:rPr>
        <w:t>住所（住址）：</w:t>
      </w: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 ***</w:t>
      </w:r>
    </w:p>
    <w:p w14:paraId="218FA63F">
      <w:pPr>
        <w:keepNext w:val="0"/>
        <w:keepLines w:val="0"/>
        <w:pageBreakBefore w:val="0"/>
        <w:kinsoku/>
        <w:wordWrap/>
        <w:overflowPunct/>
        <w:topLinePunct w:val="0"/>
        <w:bidi w:val="0"/>
        <w:spacing w:line="480" w:lineRule="exact"/>
        <w:textAlignment w:val="auto"/>
        <w:rPr>
          <w:rFonts w:hint="default" w:ascii="仿宋" w:hAnsi="仿宋" w:eastAsia="仿宋" w:cs="仿宋"/>
          <w:kern w:val="1"/>
          <w:sz w:val="32"/>
          <w:szCs w:val="32"/>
          <w:lang w:val="en-US" w:eastAsia="zh-CN"/>
        </w:rPr>
      </w:pPr>
      <w:r>
        <w:rPr>
          <w:rFonts w:hint="eastAsia" w:ascii="仿宋" w:hAnsi="仿宋" w:eastAsia="仿宋" w:cs="仿宋"/>
          <w:kern w:val="1"/>
          <w:sz w:val="32"/>
          <w:szCs w:val="32"/>
          <w:highlight w:val="none"/>
          <w:lang w:val="en-US" w:eastAsia="zh-CN"/>
        </w:rPr>
        <w:t>法定代表人（负责人）</w:t>
      </w:r>
      <w:r>
        <w:rPr>
          <w:rFonts w:hint="eastAsia" w:ascii="仿宋" w:hAnsi="仿宋" w:eastAsia="仿宋" w:cs="仿宋"/>
          <w:kern w:val="1"/>
          <w:sz w:val="32"/>
          <w:szCs w:val="32"/>
          <w:highlight w:val="none"/>
        </w:rPr>
        <w:t>：</w:t>
      </w:r>
      <w:r>
        <w:rPr>
          <w:rFonts w:hint="eastAsia" w:ascii="仿宋" w:hAnsi="仿宋" w:eastAsia="仿宋" w:cs="仿宋"/>
          <w:kern w:val="1"/>
          <w:sz w:val="32"/>
          <w:szCs w:val="32"/>
          <w:highlight w:val="none"/>
          <w:u w:val="single"/>
        </w:rPr>
        <w:t xml:space="preserve"> </w:t>
      </w:r>
      <w:r>
        <w:rPr>
          <w:rFonts w:hint="eastAsia" w:ascii="仿宋" w:hAnsi="仿宋" w:eastAsia="仿宋" w:cs="仿宋"/>
          <w:kern w:val="1"/>
          <w:sz w:val="32"/>
          <w:szCs w:val="32"/>
          <w:highlight w:val="none"/>
          <w:u w:val="single"/>
          <w:lang w:val="en-US" w:eastAsia="zh-CN"/>
        </w:rPr>
        <w:t>***</w:t>
      </w:r>
      <w:bookmarkStart w:id="0" w:name="_GoBack"/>
      <w:bookmarkEnd w:id="0"/>
      <w:r>
        <w:rPr>
          <w:rFonts w:hint="eastAsia" w:ascii="仿宋" w:hAnsi="仿宋" w:eastAsia="仿宋" w:cs="仿宋"/>
          <w:kern w:val="1"/>
          <w:sz w:val="32"/>
          <w:szCs w:val="32"/>
          <w:u w:val="single"/>
        </w:rPr>
        <w:t xml:space="preserve">                        </w:t>
      </w:r>
      <w:r>
        <w:rPr>
          <w:rFonts w:hint="eastAsia" w:ascii="仿宋" w:hAnsi="仿宋" w:eastAsia="仿宋" w:cs="仿宋"/>
          <w:kern w:val="1"/>
          <w:sz w:val="32"/>
          <w:szCs w:val="32"/>
          <w:u w:val="single"/>
          <w:lang w:val="en-US" w:eastAsia="zh-CN"/>
        </w:rPr>
        <w:t xml:space="preserve">             </w:t>
      </w:r>
    </w:p>
    <w:p w14:paraId="521A9D69">
      <w:pPr>
        <w:pStyle w:val="2"/>
        <w:keepNext w:val="0"/>
        <w:keepLines w:val="0"/>
        <w:pageBreakBefore w:val="0"/>
        <w:shd w:val="clear" w:color="auto" w:fill="FFFFFF"/>
        <w:tabs>
          <w:tab w:val="left" w:pos="9060"/>
        </w:tabs>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highlight w:val="none"/>
          <w:u w:val="single"/>
          <w:shd w:val="clear" w:color="auto" w:fill="auto"/>
          <w:lang w:val="en-US" w:eastAsia="zh-CN" w:bidi="ar-SA"/>
        </w:rPr>
      </w:pP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2025年10月23日，我局小觉市场监督管理所执法人员在日常监督检查中发现该饭店操作间冰箱内生肉和熟肉未隔离存放，我局执法人员对该饭店当场下达责令改正通知书，责令其于2025年10月28日前改正上述违法行为。2025年10月31日我局执法人员再次对该饭店进行现场检查，发现该饭店操作间冰箱内生肉和熟肉仍未隔离存放。本案未采取强制措施。2025年10月31日对当事人进行询问调查，执法人员依法收集相关记录材料，调查期间未采取行政强制措施。                                                                     </w:t>
      </w:r>
    </w:p>
    <w:p w14:paraId="0DDDD1F4">
      <w:pPr>
        <w:pStyle w:val="2"/>
        <w:keepNext w:val="0"/>
        <w:keepLines w:val="0"/>
        <w:pageBreakBefore w:val="0"/>
        <w:shd w:val="clear" w:color="auto" w:fill="FFFFFF"/>
        <w:tabs>
          <w:tab w:val="left" w:pos="9060"/>
        </w:tabs>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highlight w:val="none"/>
          <w:u w:val="single"/>
          <w:shd w:val="clear" w:color="auto" w:fill="auto"/>
          <w:lang w:val="en-US" w:eastAsia="zh-CN" w:bidi="ar-SA"/>
        </w:rPr>
      </w:pP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2025年10月31日我局予以立案。                                                                                                                                       </w:t>
      </w:r>
    </w:p>
    <w:p w14:paraId="65A2448E">
      <w:pPr>
        <w:keepNext w:val="0"/>
        <w:keepLines w:val="0"/>
        <w:pageBreakBefore w:val="0"/>
        <w:kinsoku/>
        <w:wordWrap/>
        <w:overflowPunct/>
        <w:topLinePunct w:val="0"/>
        <w:autoSpaceDE/>
        <w:autoSpaceDN/>
        <w:bidi w:val="0"/>
        <w:adjustRightInd/>
        <w:snapToGrid/>
        <w:spacing w:line="460" w:lineRule="exact"/>
        <w:ind w:left="0" w:leftChars="0" w:right="0" w:rightChars="0" w:firstLine="640" w:firstLineChars="200"/>
        <w:textAlignment w:val="auto"/>
        <w:outlineLvl w:val="9"/>
        <w:rPr>
          <w:rFonts w:hint="default" w:ascii="仿宋" w:hAnsi="仿宋" w:eastAsia="仿宋" w:cs="仿宋_GB2312"/>
          <w:sz w:val="32"/>
          <w:szCs w:val="32"/>
          <w:u w:val="single"/>
          <w:lang w:val="en-US" w:eastAsia="zh-CN"/>
        </w:rPr>
      </w:pPr>
      <w:r>
        <w:rPr>
          <w:rFonts w:hint="eastAsia" w:ascii="仿宋_GB2312" w:hAnsi="仿宋_GB2312" w:eastAsia="仿宋_GB2312" w:cs="仿宋_GB2312"/>
          <w:kern w:val="0"/>
          <w:sz w:val="32"/>
          <w:szCs w:val="32"/>
          <w:highlight w:val="none"/>
          <w:u w:val="none"/>
          <w:shd w:val="clear" w:color="auto" w:fill="auto"/>
          <w:lang w:val="en-US" w:eastAsia="zh-CN" w:bidi="ar-SA"/>
        </w:rPr>
        <w:t>经查，</w:t>
      </w:r>
      <w:r>
        <w:rPr>
          <w:rFonts w:hint="eastAsia" w:ascii="仿宋_GB2312" w:hAnsi="仿宋_GB2312" w:eastAsia="仿宋_GB2312" w:cs="仿宋_GB2312"/>
          <w:kern w:val="0"/>
          <w:sz w:val="32"/>
          <w:szCs w:val="32"/>
          <w:highlight w:val="none"/>
          <w:u w:val="single"/>
          <w:shd w:val="clear" w:color="auto" w:fill="auto"/>
          <w:lang w:val="en-US" w:eastAsia="zh-CN" w:bidi="ar-SA"/>
        </w:rPr>
        <w:t xml:space="preserve">2025年10月23日，我局小觉市场监督管理所执法人员在日常监督检查中发现该饭店操作间冰箱内生肉和熟肉未隔离存放，我局执法人员对该饭店当场下达责令改正通知书，责令其于2025年10月28日前改正上述违法行为。2025年10月31日我局执法人员再次对该饭店进行现场检查，发现该饭店操作间冰箱内生肉和熟肉仍未隔离存放。仍存在未遵守生熟隔离规定的违法行为。 </w:t>
      </w:r>
      <w:r>
        <w:rPr>
          <w:rFonts w:hint="eastAsia" w:ascii="仿宋_GB2312" w:hAnsi="仿宋_GB2312" w:eastAsia="仿宋_GB2312" w:cs="仿宋_GB2312"/>
          <w:sz w:val="36"/>
          <w:szCs w:val="36"/>
          <w:highlight w:val="none"/>
          <w:u w:val="single"/>
        </w:rPr>
        <w:t xml:space="preserve">    </w:t>
      </w:r>
      <w:r>
        <w:rPr>
          <w:rFonts w:hint="eastAsia" w:ascii="仿宋_GB2312" w:hAnsi="仿宋_GB2312" w:eastAsia="仿宋_GB2312" w:cs="仿宋_GB2312"/>
          <w:sz w:val="36"/>
          <w:szCs w:val="36"/>
          <w:highlight w:val="none"/>
          <w:u w:val="none"/>
        </w:rPr>
        <w:t xml:space="preserve">                  </w:t>
      </w:r>
      <w:r>
        <w:rPr>
          <w:rFonts w:hint="eastAsia" w:ascii="仿宋_GB2312" w:hAnsi="仿宋_GB2312" w:eastAsia="仿宋_GB2312" w:cs="仿宋_GB2312"/>
          <w:sz w:val="36"/>
          <w:szCs w:val="36"/>
          <w:highlight w:val="none"/>
          <w:u w:val="none"/>
          <w:lang w:val="en-US" w:eastAsia="zh-CN"/>
        </w:rPr>
        <w:t xml:space="preserve">    </w:t>
      </w:r>
      <w:r>
        <w:rPr>
          <w:rFonts w:hint="eastAsia" w:ascii="仿宋_GB2312" w:hAnsi="仿宋_GB2312" w:eastAsia="仿宋_GB2312" w:cs="仿宋_GB2312"/>
          <w:sz w:val="36"/>
          <w:szCs w:val="36"/>
          <w:highlight w:val="none"/>
          <w:u w:val="none"/>
        </w:rPr>
        <w:t xml:space="preserve">      </w:t>
      </w:r>
      <w:r>
        <w:rPr>
          <w:rFonts w:hint="eastAsia" w:ascii="仿宋_GB2312" w:hAnsi="仿宋_GB2312" w:eastAsia="仿宋_GB2312" w:cs="仿宋_GB2312"/>
          <w:sz w:val="36"/>
          <w:szCs w:val="36"/>
          <w:highlight w:val="none"/>
          <w:u w:val="none"/>
          <w:lang w:val="en-US" w:eastAsia="zh-CN"/>
        </w:rPr>
        <w:t xml:space="preserve">        </w:t>
      </w:r>
      <w:r>
        <w:rPr>
          <w:rFonts w:hint="eastAsia" w:ascii="仿宋_GB2312" w:hAnsi="仿宋_GB2312" w:eastAsia="仿宋_GB2312" w:cs="仿宋_GB2312"/>
          <w:sz w:val="36"/>
          <w:szCs w:val="36"/>
          <w:highlight w:val="none"/>
          <w:u w:val="none"/>
        </w:rPr>
        <w:t xml:space="preserve">   </w:t>
      </w:r>
    </w:p>
    <w:p w14:paraId="0BBE600E">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p>
    <w:p w14:paraId="3D1C31EC">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上述事实，主要有以下证据证明：                                </w:t>
      </w:r>
    </w:p>
    <w:p w14:paraId="421FB660">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 1、当事人提供的《营业执照》复印件、《食品小作坊小餐饮登记证》复印件、法定代表人身份证复印件，证明当事人具有合法经营的主体资格。 </w:t>
      </w:r>
    </w:p>
    <w:p w14:paraId="6669DC96">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2、我局执法人员分别在2025年10月23日和2025年10月31日制作的《现场检查笔录》各一份及现场检查照片6张，证明2025年10月23日我局执法人员对当事人经营场所进行检查，当事人未遵守生熟隔离规定的事实及2025年10月31日我局执法人员对当事人经营场所再次现场检查，当事人仍未遵守生熟隔离规定的事实；   </w:t>
      </w:r>
    </w:p>
    <w:p w14:paraId="379C23A7">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3、送达回证及我局于2025年10月23日对当事人下达《责令改正通知书》（平市监责改〔2025〕XJ72号）一份，证明我局执法人员在发现当事人存在未遵守生熟隔离规定的行为后责令当事人限期改正；</w:t>
      </w:r>
    </w:p>
    <w:p w14:paraId="6497E256">
      <w:pPr>
        <w:keepNext w:val="0"/>
        <w:keepLines w:val="0"/>
        <w:pageBreakBefore w:val="0"/>
        <w:kinsoku/>
        <w:wordWrap/>
        <w:overflowPunct/>
        <w:topLinePunct w:val="0"/>
        <w:bidi w:val="0"/>
        <w:spacing w:line="480" w:lineRule="exact"/>
        <w:ind w:firstLine="320" w:firstLineChars="100"/>
        <w:jc w:val="both"/>
        <w:textAlignment w:val="auto"/>
        <w:rPr>
          <w:rFonts w:hint="default"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 4、我局执法人员制作的询问笔录1份，证明当事人未遵守生熟隔离规定的事实；                                </w:t>
      </w:r>
    </w:p>
    <w:p w14:paraId="358C9D9E">
      <w:pPr>
        <w:keepNext w:val="0"/>
        <w:keepLines w:val="0"/>
        <w:pageBreakBefore w:val="0"/>
        <w:kinsoku/>
        <w:wordWrap/>
        <w:overflowPunct/>
        <w:topLinePunct w:val="0"/>
        <w:bidi w:val="0"/>
        <w:spacing w:line="480" w:lineRule="exact"/>
        <w:ind w:firstLine="640" w:firstLineChars="200"/>
        <w:jc w:val="both"/>
        <w:textAlignment w:val="auto"/>
        <w:rPr>
          <w:rFonts w:hint="eastAsia" w:ascii="仿宋" w:hAnsi="仿宋" w:eastAsia="仿宋" w:cs="仿宋"/>
          <w:color w:val="auto"/>
          <w:kern w:val="2"/>
          <w:sz w:val="32"/>
          <w:szCs w:val="32"/>
          <w:u w:val="single"/>
          <w:lang w:val="en-US" w:eastAsia="zh-CN" w:bidi="ar-SA"/>
        </w:rPr>
      </w:pPr>
      <w:r>
        <w:rPr>
          <w:rFonts w:hint="eastAsia" w:ascii="仿宋_GB2312" w:hAnsi="仿宋_GB2312" w:eastAsia="仿宋_GB2312" w:cs="仿宋_GB2312"/>
          <w:kern w:val="0"/>
          <w:sz w:val="32"/>
          <w:szCs w:val="32"/>
          <w:u w:val="single"/>
          <w:shd w:val="clear" w:color="auto" w:fill="auto"/>
          <w:lang w:val="en-US" w:eastAsia="zh-CN" w:bidi="ar"/>
        </w:rPr>
        <w:t xml:space="preserve">以上证据和笔录均有当事人签字予以确认。           </w:t>
      </w:r>
      <w:r>
        <w:rPr>
          <w:rFonts w:hint="eastAsia" w:ascii="仿宋" w:hAnsi="仿宋" w:eastAsia="仿宋" w:cs="仿宋"/>
          <w:color w:val="auto"/>
          <w:kern w:val="2"/>
          <w:sz w:val="32"/>
          <w:szCs w:val="32"/>
          <w:u w:val="single"/>
          <w:lang w:val="en-US" w:eastAsia="zh-CN" w:bidi="ar-SA"/>
        </w:rPr>
        <w:t xml:space="preserve">       </w:t>
      </w:r>
    </w:p>
    <w:p w14:paraId="0D602429">
      <w:pPr>
        <w:pStyle w:val="2"/>
        <w:keepNext w:val="0"/>
        <w:keepLines w:val="0"/>
        <w:pageBreakBefore w:val="0"/>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000000"/>
          <w:sz w:val="32"/>
          <w:szCs w:val="32"/>
          <w:u w:val="single"/>
        </w:rPr>
      </w:pPr>
      <w:r>
        <w:rPr>
          <w:rFonts w:hint="eastAsia" w:ascii="仿宋" w:hAnsi="仿宋" w:eastAsia="仿宋" w:cs="仿宋"/>
          <w:bCs/>
          <w:color w:val="231F20"/>
          <w:sz w:val="32"/>
          <w:szCs w:val="32"/>
          <w:u w:val="single" w:color="231F20"/>
          <w:lang w:val="en-US" w:eastAsia="zh-CN"/>
        </w:rPr>
        <w:t>2025</w:t>
      </w:r>
      <w:r>
        <w:rPr>
          <w:rFonts w:hint="eastAsia" w:ascii="仿宋" w:hAnsi="仿宋" w:eastAsia="仿宋" w:cs="仿宋"/>
          <w:bCs/>
          <w:color w:val="231F20"/>
          <w:sz w:val="32"/>
          <w:szCs w:val="32"/>
          <w:u w:val="single" w:color="231F20"/>
        </w:rPr>
        <w:t>年</w:t>
      </w:r>
      <w:r>
        <w:rPr>
          <w:rFonts w:hint="eastAsia" w:ascii="仿宋" w:hAnsi="仿宋" w:eastAsia="仿宋" w:cs="仿宋"/>
          <w:bCs/>
          <w:color w:val="231F20"/>
          <w:sz w:val="32"/>
          <w:szCs w:val="32"/>
          <w:u w:val="single" w:color="231F20"/>
          <w:lang w:val="en-US" w:eastAsia="zh-CN"/>
        </w:rPr>
        <w:t>11月7日</w:t>
      </w:r>
      <w:r>
        <w:rPr>
          <w:rFonts w:hint="eastAsia" w:ascii="仿宋" w:hAnsi="仿宋" w:eastAsia="仿宋" w:cs="仿宋"/>
          <w:bCs/>
          <w:color w:val="auto"/>
          <w:sz w:val="32"/>
          <w:szCs w:val="32"/>
          <w:u w:val="single" w:color="231F20"/>
        </w:rPr>
        <w:t>，我</w:t>
      </w:r>
      <w:r>
        <w:rPr>
          <w:rFonts w:hint="eastAsia" w:ascii="仿宋" w:hAnsi="仿宋" w:eastAsia="仿宋" w:cs="仿宋"/>
          <w:bCs/>
          <w:color w:val="231F20"/>
          <w:sz w:val="32"/>
          <w:szCs w:val="32"/>
          <w:u w:val="single" w:color="231F20"/>
        </w:rPr>
        <w:t>局向当事人送达了《行政处罚告知书》</w:t>
      </w:r>
      <w:r>
        <w:rPr>
          <w:rFonts w:hint="eastAsia" w:ascii="仿宋" w:hAnsi="仿宋" w:eastAsia="仿宋" w:cs="仿宋"/>
          <w:sz w:val="32"/>
          <w:szCs w:val="32"/>
          <w:u w:val="single"/>
        </w:rPr>
        <w:t>平市监罚告〔202</w:t>
      </w:r>
      <w:r>
        <w:rPr>
          <w:rFonts w:hint="eastAsia" w:ascii="仿宋" w:hAnsi="仿宋" w:eastAsia="仿宋" w:cs="仿宋"/>
          <w:sz w:val="32"/>
          <w:szCs w:val="32"/>
          <w:u w:val="single"/>
          <w:lang w:val="en-US" w:eastAsia="zh-CN"/>
        </w:rPr>
        <w:t>5</w:t>
      </w:r>
      <w:r>
        <w:rPr>
          <w:rFonts w:hint="eastAsia" w:ascii="仿宋" w:hAnsi="仿宋" w:eastAsia="仿宋" w:cs="仿宋"/>
          <w:sz w:val="32"/>
          <w:szCs w:val="32"/>
          <w:u w:val="single"/>
        </w:rPr>
        <w:t>〕</w:t>
      </w:r>
      <w:r>
        <w:rPr>
          <w:rFonts w:hint="eastAsia" w:ascii="仿宋" w:hAnsi="仿宋" w:eastAsia="仿宋" w:cs="仿宋"/>
          <w:sz w:val="32"/>
          <w:szCs w:val="32"/>
          <w:u w:val="single"/>
          <w:lang w:val="en-US" w:eastAsia="zh-CN"/>
        </w:rPr>
        <w:t>72</w:t>
      </w:r>
      <w:r>
        <w:rPr>
          <w:rFonts w:hint="eastAsia" w:ascii="仿宋" w:hAnsi="仿宋" w:eastAsia="仿宋" w:cs="仿宋"/>
          <w:sz w:val="32"/>
          <w:szCs w:val="32"/>
          <w:u w:val="single"/>
        </w:rPr>
        <w:t xml:space="preserve">号，依法告知当事人本局拟将作出行政处罚的事实、理由、依据、处罚内容及当事人享有的陈述、申诉的权利，要求听证的权利，当事人未在规定时间内提出陈述、申诉及听证。                                                      </w:t>
      </w:r>
    </w:p>
    <w:p w14:paraId="22A79944">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 w:hAnsi="仿宋" w:eastAsia="仿宋" w:cs="仿宋"/>
          <w:kern w:val="1"/>
          <w:sz w:val="32"/>
          <w:szCs w:val="32"/>
          <w:u w:val="single"/>
        </w:rPr>
        <w:t>本</w:t>
      </w:r>
      <w:r>
        <w:rPr>
          <w:rFonts w:hint="eastAsia" w:ascii="仿宋_GB2312" w:hAnsi="仿宋_GB2312" w:eastAsia="仿宋_GB2312" w:cs="仿宋_GB2312"/>
          <w:kern w:val="0"/>
          <w:sz w:val="32"/>
          <w:szCs w:val="32"/>
          <w:u w:val="single"/>
          <w:shd w:val="clear" w:color="auto" w:fill="auto"/>
          <w:lang w:val="en-US" w:eastAsia="zh-CN" w:bidi="ar"/>
        </w:rPr>
        <w:t>局认为，</w:t>
      </w:r>
      <w:r>
        <w:rPr>
          <w:rFonts w:hint="eastAsia" w:ascii="仿宋" w:hAnsi="仿宋" w:eastAsia="仿宋" w:cs="仿宋"/>
          <w:kern w:val="1"/>
          <w:sz w:val="32"/>
          <w:szCs w:val="32"/>
          <w:u w:val="single"/>
          <w:lang w:eastAsia="zh-CN"/>
        </w:rPr>
        <w:t>当事人的行为违反了《河北省食品小作坊小餐饮小摊点管理条例》（</w:t>
      </w:r>
      <w:r>
        <w:rPr>
          <w:rFonts w:hint="eastAsia" w:ascii="仿宋" w:hAnsi="仿宋" w:eastAsia="仿宋" w:cs="仿宋"/>
          <w:kern w:val="1"/>
          <w:sz w:val="32"/>
          <w:szCs w:val="32"/>
          <w:u w:val="single"/>
          <w:lang w:val="en-US" w:eastAsia="zh-CN"/>
        </w:rPr>
        <w:t>2019年7月25日修正</w:t>
      </w:r>
      <w:r>
        <w:rPr>
          <w:rFonts w:hint="eastAsia" w:ascii="仿宋" w:hAnsi="仿宋" w:eastAsia="仿宋" w:cs="仿宋"/>
          <w:kern w:val="1"/>
          <w:sz w:val="32"/>
          <w:szCs w:val="32"/>
          <w:u w:val="single"/>
          <w:lang w:eastAsia="zh-CN"/>
        </w:rPr>
        <w:t>）第</w:t>
      </w:r>
      <w:r>
        <w:rPr>
          <w:rFonts w:hint="eastAsia" w:ascii="仿宋" w:hAnsi="仿宋" w:eastAsia="仿宋" w:cs="仿宋"/>
          <w:kern w:val="1"/>
          <w:sz w:val="32"/>
          <w:szCs w:val="32"/>
          <w:u w:val="single"/>
          <w:lang w:val="en-US" w:eastAsia="zh-CN"/>
        </w:rPr>
        <w:t>十</w:t>
      </w:r>
      <w:r>
        <w:rPr>
          <w:rFonts w:hint="eastAsia" w:ascii="仿宋" w:hAnsi="仿宋" w:eastAsia="仿宋" w:cs="仿宋"/>
          <w:kern w:val="1"/>
          <w:sz w:val="32"/>
          <w:szCs w:val="32"/>
          <w:u w:val="single"/>
          <w:lang w:eastAsia="zh-CN"/>
        </w:rPr>
        <w:t>条</w:t>
      </w:r>
      <w:r>
        <w:rPr>
          <w:rFonts w:hint="eastAsia" w:ascii="仿宋_GB2312" w:hAnsi="仿宋_GB2312" w:eastAsia="仿宋_GB2312" w:cs="仿宋_GB2312"/>
          <w:sz w:val="32"/>
          <w:szCs w:val="32"/>
          <w:highlight w:val="none"/>
          <w:u w:val="none"/>
          <w:lang w:eastAsia="zh-CN"/>
        </w:rPr>
        <w:t>：</w:t>
      </w:r>
      <w:r>
        <w:rPr>
          <w:rFonts w:hint="eastAsia" w:ascii="仿宋" w:hAnsi="仿宋" w:eastAsia="仿宋" w:cs="仿宋"/>
          <w:kern w:val="1"/>
          <w:sz w:val="32"/>
          <w:szCs w:val="32"/>
          <w:u w:val="single"/>
          <w:lang w:eastAsia="zh-CN"/>
        </w:rPr>
        <w:t>“小作坊、小餐饮、小摊点从事生产经营应当遵守下列规定：</w:t>
      </w:r>
      <w:r>
        <w:rPr>
          <w:rFonts w:hint="eastAsia" w:ascii="仿宋" w:hAnsi="仿宋" w:eastAsia="仿宋" w:cs="仿宋"/>
          <w:kern w:val="1"/>
          <w:sz w:val="32"/>
          <w:szCs w:val="32"/>
          <w:u w:val="single"/>
          <w:lang w:val="en-US" w:eastAsia="zh-CN"/>
        </w:rPr>
        <w:t>（二）</w:t>
      </w:r>
      <w:r>
        <w:rPr>
          <w:rFonts w:hint="eastAsia" w:ascii="仿宋" w:hAnsi="仿宋" w:eastAsia="仿宋" w:cs="仿宋"/>
          <w:kern w:val="1"/>
          <w:sz w:val="32"/>
          <w:szCs w:val="32"/>
          <w:u w:val="single"/>
          <w:lang w:eastAsia="zh-CN"/>
        </w:rPr>
        <w:t>制作食品时生熟隔离；”之规定，属于未遵守生熟隔离规定的违法行为，依法应予以处罚。</w:t>
      </w:r>
      <w:r>
        <w:rPr>
          <w:rFonts w:hint="eastAsia" w:ascii="仿宋" w:hAnsi="仿宋" w:eastAsia="仿宋" w:cs="仿宋"/>
          <w:kern w:val="1"/>
          <w:sz w:val="32"/>
          <w:szCs w:val="32"/>
          <w:u w:val="single"/>
        </w:rPr>
        <w:t xml:space="preserve">        </w:t>
      </w:r>
      <w:r>
        <w:rPr>
          <w:rFonts w:hint="eastAsia" w:ascii="仿宋" w:hAnsi="仿宋" w:eastAsia="仿宋" w:cs="仿宋"/>
          <w:kern w:val="1"/>
          <w:sz w:val="32"/>
          <w:szCs w:val="32"/>
          <w:u w:val="single"/>
          <w:lang w:val="en-US" w:eastAsia="zh-CN"/>
        </w:rPr>
        <w:t xml:space="preserve">    </w:t>
      </w:r>
      <w:r>
        <w:rPr>
          <w:rFonts w:hint="eastAsia" w:ascii="仿宋_GB2312" w:hAnsi="仿宋_GB2312" w:eastAsia="仿宋_GB2312" w:cs="仿宋_GB2312"/>
          <w:kern w:val="0"/>
          <w:sz w:val="32"/>
          <w:szCs w:val="32"/>
          <w:u w:val="single"/>
          <w:shd w:val="clear" w:color="auto" w:fill="auto"/>
          <w:lang w:val="en-US" w:eastAsia="zh-CN" w:bidi="ar"/>
        </w:rPr>
        <w:t xml:space="preserve">                                                </w:t>
      </w:r>
    </w:p>
    <w:p w14:paraId="75298237">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 w:hAnsi="仿宋" w:eastAsia="仿宋" w:cs="仿宋"/>
          <w:kern w:val="1"/>
          <w:sz w:val="32"/>
          <w:szCs w:val="32"/>
          <w:u w:val="single"/>
          <w:lang w:eastAsia="zh-CN"/>
        </w:rPr>
      </w:pPr>
      <w:r>
        <w:rPr>
          <w:rFonts w:hint="eastAsia" w:ascii="仿宋" w:hAnsi="仿宋" w:eastAsia="仿宋" w:cs="仿宋"/>
          <w:kern w:val="1"/>
          <w:sz w:val="32"/>
          <w:szCs w:val="32"/>
          <w:u w:val="single"/>
          <w:lang w:eastAsia="zh-CN"/>
        </w:rPr>
        <w:t>当事人未遵守生熟隔离规定的行为，</w:t>
      </w:r>
      <w:r>
        <w:rPr>
          <w:rFonts w:hint="eastAsia" w:ascii="仿宋" w:hAnsi="仿宋" w:eastAsia="仿宋" w:cs="仿宋"/>
          <w:kern w:val="1"/>
          <w:sz w:val="32"/>
          <w:szCs w:val="32"/>
          <w:u w:val="single"/>
          <w:lang w:val="en-US" w:eastAsia="zh-CN"/>
        </w:rPr>
        <w:t>参照</w:t>
      </w:r>
      <w:r>
        <w:rPr>
          <w:rFonts w:hint="eastAsia" w:ascii="仿宋" w:hAnsi="仿宋" w:eastAsia="仿宋" w:cs="仿宋"/>
          <w:kern w:val="1"/>
          <w:sz w:val="32"/>
          <w:szCs w:val="32"/>
          <w:u w:val="single"/>
          <w:lang w:eastAsia="zh-CN"/>
        </w:rPr>
        <w:t>《河北省市场监督管理系统行政处罚裁量权适用规则》第十五条：“当事</w:t>
      </w:r>
    </w:p>
    <w:p w14:paraId="28F8E584">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 w:hAnsi="仿宋" w:eastAsia="仿宋" w:cs="仿宋"/>
          <w:kern w:val="1"/>
          <w:sz w:val="32"/>
          <w:szCs w:val="32"/>
          <w:u w:val="single"/>
          <w:lang w:eastAsia="zh-CN"/>
        </w:rPr>
      </w:pPr>
    </w:p>
    <w:p w14:paraId="2A638F2F">
      <w:pPr>
        <w:keepNext w:val="0"/>
        <w:keepLines w:val="0"/>
        <w:pageBreakBefore w:val="0"/>
        <w:kinsoku/>
        <w:wordWrap/>
        <w:overflowPunct/>
        <w:topLinePunct w:val="0"/>
        <w:autoSpaceDE/>
        <w:autoSpaceDN/>
        <w:bidi w:val="0"/>
        <w:adjustRightInd/>
        <w:snapToGrid/>
        <w:spacing w:line="480" w:lineRule="exact"/>
        <w:ind w:right="0" w:rightChars="0"/>
        <w:textAlignment w:val="auto"/>
        <w:outlineLvl w:val="9"/>
        <w:rPr>
          <w:rFonts w:hint="eastAsia" w:ascii="仿宋" w:hAnsi="仿宋" w:eastAsia="仿宋" w:cs="仿宋"/>
          <w:kern w:val="1"/>
          <w:sz w:val="32"/>
          <w:szCs w:val="32"/>
          <w:u w:val="single"/>
          <w:lang w:eastAsia="zh-CN"/>
        </w:rPr>
      </w:pPr>
      <w:r>
        <w:rPr>
          <w:rFonts w:hint="eastAsia" w:ascii="仿宋" w:hAnsi="仿宋" w:eastAsia="仿宋" w:cs="仿宋"/>
          <w:kern w:val="1"/>
          <w:sz w:val="32"/>
          <w:szCs w:val="32"/>
          <w:u w:val="single"/>
          <w:lang w:eastAsia="zh-CN"/>
        </w:rPr>
        <w:t>人有下列情形之一的，可以依法从轻或者减轻行政处罚：（二）积极配合市场监督管理机关调查，如实陈述违法事实并主动提供证据材料的；”建议适用从轻处罚。</w:t>
      </w:r>
    </w:p>
    <w:p w14:paraId="3AAD24EC">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Times New Roman" w:hAnsi="Times New Roman" w:eastAsia="仿宋_GB2312" w:cs="仿宋_GB2312"/>
          <w:bCs/>
          <w:sz w:val="32"/>
          <w:szCs w:val="32"/>
          <w:u w:val="single"/>
          <w:lang w:eastAsia="zh-CN"/>
        </w:rPr>
        <w:t>依据</w:t>
      </w:r>
      <w:r>
        <w:rPr>
          <w:rFonts w:hint="eastAsia" w:ascii="Times New Roman" w:hAnsi="Times New Roman" w:eastAsia="仿宋_GB2312" w:cs="仿宋_GB2312"/>
          <w:bCs/>
          <w:sz w:val="32"/>
          <w:szCs w:val="32"/>
          <w:u w:val="single"/>
          <w:lang w:val="en-US" w:eastAsia="zh-CN"/>
        </w:rPr>
        <w:t>《河北省市场监督管理系统行政裁量权基准》（2025年版）72、《河北省食品小作坊小餐饮小摊点管理条例》（2019年7月25日修正）行政处罚裁量权基准5违法行为：“小作坊、小餐饮、小摊点制作食品时未生熟隔离的”，违法依据：“《</w:t>
      </w:r>
      <w:r>
        <w:rPr>
          <w:rFonts w:hint="eastAsia" w:ascii="Times New Roman" w:hAnsi="Times New Roman" w:eastAsia="仿宋_GB2312" w:cs="仿宋_GB2312"/>
          <w:bCs/>
          <w:sz w:val="32"/>
          <w:szCs w:val="32"/>
          <w:u w:val="single"/>
          <w:lang w:eastAsia="zh-CN"/>
        </w:rPr>
        <w:t>河北省食品小作坊小餐饮小摊点管理条例</w:t>
      </w:r>
      <w:r>
        <w:rPr>
          <w:rFonts w:hint="eastAsia" w:ascii="Times New Roman" w:hAnsi="Times New Roman" w:eastAsia="仿宋_GB2312" w:cs="仿宋_GB2312"/>
          <w:bCs/>
          <w:sz w:val="32"/>
          <w:szCs w:val="32"/>
          <w:u w:val="single"/>
          <w:lang w:val="en-US" w:eastAsia="zh-CN"/>
        </w:rPr>
        <w:t>》</w:t>
      </w:r>
      <w:r>
        <w:rPr>
          <w:rFonts w:hint="eastAsia" w:ascii="Times New Roman" w:hAnsi="Times New Roman" w:eastAsia="仿宋_GB2312" w:cs="仿宋_GB2312"/>
          <w:bCs/>
          <w:sz w:val="32"/>
          <w:szCs w:val="32"/>
          <w:u w:val="single"/>
          <w:lang w:eastAsia="zh-CN"/>
        </w:rPr>
        <w:t>（</w:t>
      </w:r>
      <w:r>
        <w:rPr>
          <w:rFonts w:hint="eastAsia" w:ascii="Times New Roman" w:hAnsi="Times New Roman" w:eastAsia="仿宋_GB2312" w:cs="仿宋_GB2312"/>
          <w:bCs/>
          <w:sz w:val="32"/>
          <w:szCs w:val="32"/>
          <w:u w:val="single"/>
          <w:lang w:val="en-US" w:eastAsia="zh-CN"/>
        </w:rPr>
        <w:t>2019年7月25日修正</w:t>
      </w:r>
      <w:r>
        <w:rPr>
          <w:rFonts w:hint="eastAsia" w:ascii="Times New Roman" w:hAnsi="Times New Roman" w:eastAsia="仿宋_GB2312" w:cs="仿宋_GB2312"/>
          <w:bCs/>
          <w:sz w:val="32"/>
          <w:szCs w:val="32"/>
          <w:u w:val="single"/>
          <w:lang w:eastAsia="zh-CN"/>
        </w:rPr>
        <w:t>）</w:t>
      </w:r>
      <w:r>
        <w:rPr>
          <w:rFonts w:hint="eastAsia" w:ascii="Times New Roman" w:hAnsi="Times New Roman" w:eastAsia="仿宋_GB2312" w:cs="仿宋_GB2312"/>
          <w:bCs/>
          <w:sz w:val="32"/>
          <w:szCs w:val="32"/>
          <w:u w:val="single"/>
          <w:lang w:val="en-US" w:eastAsia="zh-CN"/>
        </w:rPr>
        <w:t>第十条小作坊、小餐饮、小摊点从事生产经营应当遵守下列规定：（二）制作食品时生熟隔离；”。适用情形：“较轻”；裁量基准：“（一）处五百元以上八百元以下罚款”之规定，给予处罚。</w:t>
      </w:r>
      <w:r>
        <w:rPr>
          <w:rFonts w:hint="eastAsia" w:ascii="Times New Roman" w:hAnsi="Times New Roman" w:eastAsia="仿宋_GB2312" w:cs="仿宋_GB2312"/>
          <w:bCs/>
          <w:sz w:val="32"/>
          <w:szCs w:val="32"/>
          <w:u w:val="single"/>
          <w:lang w:eastAsia="zh-CN"/>
        </w:rPr>
        <w:t xml:space="preserve"> </w:t>
      </w:r>
      <w:r>
        <w:rPr>
          <w:rFonts w:hint="eastAsia" w:ascii="Times New Roman" w:hAnsi="Times New Roman" w:eastAsia="仿宋_GB2312" w:cs="仿宋_GB2312"/>
          <w:bCs/>
          <w:sz w:val="32"/>
          <w:szCs w:val="32"/>
          <w:u w:val="single"/>
          <w:lang w:val="en-US" w:eastAsia="zh-CN"/>
        </w:rPr>
        <w:t xml:space="preserve">                                                  </w:t>
      </w:r>
    </w:p>
    <w:p w14:paraId="6748EA9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60" w:lineRule="exact"/>
        <w:ind w:left="0" w:leftChars="0" w:right="0" w:rightChars="0" w:firstLine="420"/>
        <w:jc w:val="both"/>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综上，当事人未遵守生熟隔离规定的行为，违反了《河北省食品小作坊小餐饮小摊点管理条例》（2019年7月25日修正）第十条第（二）项之规定，依据《河北省食品小作坊小餐饮小摊点管理条例》（2019年7月25日修正）第五十三条“小作坊、小餐饮、小摊点违反本条例第十条规定，由县（市、区）人民政府食品药品监督管理部门责令改正；拒不改正的，处五百元以上一千五百元以下罚款；情节严重的，责令停产停业，直至由原发证部门吊销登记证、注销备案卡。”的规定，结合行政裁量权基准，责令当事人改正违法行为，对当事人作出行政处罚如下：罚款柒佰元（700元）。</w:t>
      </w:r>
    </w:p>
    <w:p w14:paraId="52F6EFD8">
      <w:pPr>
        <w:ind w:firstLine="640" w:firstLineChars="200"/>
        <w:rPr>
          <w:rFonts w:hint="eastAsia" w:ascii="Times New Roman" w:hAnsi="Times New Roman" w:eastAsia="仿宋_GB2312" w:cs="仿宋"/>
          <w:color w:val="auto"/>
          <w:sz w:val="32"/>
          <w:szCs w:val="32"/>
          <w:u w:val="single" w:color="auto"/>
        </w:rPr>
      </w:pPr>
      <w:r>
        <w:rPr>
          <w:rFonts w:hint="eastAsia" w:ascii="Times New Roman" w:hAnsi="Times New Roman" w:eastAsia="仿宋_GB2312" w:cs="仿宋"/>
          <w:color w:val="auto"/>
          <w:sz w:val="32"/>
          <w:szCs w:val="32"/>
          <w:u w:val="single" w:color="auto"/>
        </w:rPr>
        <w:t>当事人应当自收到本处罚决定书之日起十五日内，将罚没款缴至</w:t>
      </w:r>
      <w:r>
        <w:rPr>
          <w:rFonts w:hint="eastAsia" w:ascii="Times New Roman" w:hAnsi="Times New Roman" w:eastAsia="仿宋_GB2312" w:cs="仿宋"/>
          <w:color w:val="auto"/>
          <w:sz w:val="32"/>
          <w:szCs w:val="32"/>
          <w:u w:val="single" w:color="auto"/>
          <w:lang w:val="en-US" w:eastAsia="zh-CN"/>
        </w:rPr>
        <w:t>中国邮政储蓄银行平山支行</w:t>
      </w:r>
      <w:r>
        <w:rPr>
          <w:rFonts w:hint="eastAsia" w:ascii="Times New Roman" w:hAnsi="Times New Roman" w:eastAsia="仿宋_GB2312" w:cs="仿宋"/>
          <w:color w:val="auto"/>
          <w:sz w:val="32"/>
          <w:szCs w:val="32"/>
          <w:u w:val="single" w:color="auto"/>
        </w:rPr>
        <w:t>（账户</w:t>
      </w:r>
    </w:p>
    <w:p w14:paraId="31440DF9">
      <w:pPr>
        <w:ind w:firstLine="640" w:firstLineChars="200"/>
        <w:rPr>
          <w:rFonts w:hint="eastAsia" w:ascii="Times New Roman" w:hAnsi="Times New Roman" w:eastAsia="仿宋_GB2312" w:cs="仿宋"/>
          <w:color w:val="auto"/>
          <w:sz w:val="32"/>
          <w:szCs w:val="32"/>
          <w:u w:val="single" w:color="auto"/>
        </w:rPr>
      </w:pPr>
    </w:p>
    <w:p w14:paraId="0A252489">
      <w:pPr>
        <w:ind w:firstLine="640" w:firstLineChars="200"/>
        <w:rPr>
          <w:rFonts w:hint="eastAsia" w:ascii="Times New Roman" w:hAnsi="Times New Roman" w:eastAsia="仿宋_GB2312" w:cs="仿宋"/>
          <w:color w:val="auto"/>
          <w:sz w:val="32"/>
          <w:szCs w:val="32"/>
          <w:u w:val="single" w:color="auto"/>
        </w:rPr>
      </w:pPr>
    </w:p>
    <w:p w14:paraId="23D4D640">
      <w:pPr>
        <w:rPr>
          <w:rFonts w:hint="eastAsia" w:ascii="Times New Roman" w:hAnsi="Times New Roman" w:eastAsia="仿宋_GB2312" w:cs="仿宋"/>
          <w:color w:val="auto"/>
          <w:sz w:val="32"/>
          <w:szCs w:val="32"/>
          <w:u w:val="single" w:color="auto"/>
          <w:lang w:eastAsia="zh-CN"/>
        </w:rPr>
      </w:pPr>
      <w:r>
        <w:rPr>
          <w:rFonts w:hint="eastAsia" w:ascii="Times New Roman" w:hAnsi="Times New Roman" w:eastAsia="仿宋_GB2312" w:cs="仿宋"/>
          <w:color w:val="auto"/>
          <w:sz w:val="32"/>
          <w:szCs w:val="32"/>
          <w:u w:val="single" w:color="auto"/>
          <w:lang w:eastAsia="zh-CN"/>
        </w:rPr>
        <w:drawing>
          <wp:inline distT="0" distB="0" distL="114300" distR="114300">
            <wp:extent cx="5266690" cy="7022465"/>
            <wp:effectExtent l="0" t="0" r="10160" b="6985"/>
            <wp:docPr id="1" name="图片 1" descr="微信图片_20251126150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51126150606"/>
                    <pic:cNvPicPr>
                      <a:picLocks noChangeAspect="1"/>
                    </pic:cNvPicPr>
                  </pic:nvPicPr>
                  <pic:blipFill>
                    <a:blip r:embed="rId4"/>
                    <a:stretch>
                      <a:fillRect/>
                    </a:stretch>
                  </pic:blipFill>
                  <pic:spPr>
                    <a:xfrm>
                      <a:off x="0" y="0"/>
                      <a:ext cx="5266690" cy="702246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Arial"/>
    <w:panose1 w:val="020B0604020202020204"/>
    <w:charset w:val="00"/>
    <w:family w:val="roman"/>
    <w:pitch w:val="default"/>
    <w:sig w:usb0="00000000" w:usb1="00000000" w:usb2="00000000" w:usb3="00000000" w:csb0="00000001" w:csb1="00000000"/>
  </w:font>
  <w:font w:name="方正小标宋简体">
    <w:altName w:val="黑体"/>
    <w:panose1 w:val="02010601030101010101"/>
    <w:charset w:val="86"/>
    <w:family w:val="auto"/>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510E29"/>
    <w:rsid w:val="30A752A2"/>
    <w:rsid w:val="3DA30B1A"/>
    <w:rsid w:val="4F410E9B"/>
    <w:rsid w:val="5C757E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Times New Roman" w:eastAsia="Arial Unicode MS"/>
      <w:kern w:val="0"/>
      <w:sz w:val="32"/>
      <w:szCs w:val="32"/>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1709</Words>
  <Characters>1836</Characters>
  <Lines>0</Lines>
  <Paragraphs>0</Paragraphs>
  <TotalTime>5</TotalTime>
  <ScaleCrop>false</ScaleCrop>
  <LinksUpToDate>false</LinksUpToDate>
  <CharactersWithSpaces>3500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齐利平</cp:lastModifiedBy>
  <dcterms:modified xsi:type="dcterms:W3CDTF">2025-11-26T07:26:31Z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eyJoZGlkIjoiNmJlNTQ5NjQwMjUzNjczYmQxNWJkMzllNDEyZWVkNzEiLCJ1c2VySWQiOiIxMDU4NjYyNjQyIn0=</vt:lpwstr>
  </property>
  <property fmtid="{D5CDD505-2E9C-101B-9397-08002B2CF9AE}" pid="4" name="ICV">
    <vt:lpwstr>1E463240E5164690A3A9DA0C81592204_12</vt:lpwstr>
  </property>
</Properties>
</file>