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3C148">
      <w:pPr>
        <w:spacing w:line="560" w:lineRule="exact"/>
        <w:ind w:firstLine="1760" w:firstLineChars="400"/>
        <w:jc w:val="both"/>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lang w:eastAsia="zh-CN"/>
        </w:rPr>
        <w:t>平山县</w:t>
      </w:r>
      <w:r>
        <w:rPr>
          <w:rFonts w:hint="eastAsia" w:ascii="方正小标宋简体" w:hAnsi="方正小标宋简体" w:eastAsia="方正小标宋简体" w:cs="方正小标宋简体"/>
          <w:bCs/>
          <w:sz w:val="44"/>
          <w:szCs w:val="44"/>
        </w:rPr>
        <w:t>市场监督管理局</w:t>
      </w:r>
    </w:p>
    <w:p w14:paraId="2ADA3D48">
      <w:pPr>
        <w:keepNext w:val="0"/>
        <w:keepLines w:val="0"/>
        <w:pageBreakBefore w:val="0"/>
        <w:widowControl/>
        <w:kinsoku/>
        <w:wordWrap/>
        <w:overflowPunct/>
        <w:topLinePunct w:val="0"/>
        <w:bidi w:val="0"/>
        <w:snapToGrid w:val="0"/>
        <w:spacing w:line="440" w:lineRule="exact"/>
        <w:ind w:right="55"/>
        <w:jc w:val="center"/>
        <w:textAlignment w:val="auto"/>
        <w:outlineLvl w:val="1"/>
        <w:rPr>
          <w:rFonts w:hint="eastAsia" w:ascii="仿宋" w:hAnsi="仿宋" w:eastAsia="仿宋" w:cs="仿宋"/>
          <w:bCs/>
          <w:color w:val="000000"/>
          <w:sz w:val="32"/>
          <w:szCs w:val="32"/>
          <w:u w:val="none"/>
          <w:lang w:val="en-US" w:eastAsia="zh-CN"/>
        </w:rPr>
      </w:pPr>
      <w:bookmarkStart w:id="0" w:name="_Toc76683364"/>
      <w:r>
        <w:rPr>
          <w:rFonts w:ascii="Times New Roman" w:hAnsi="Mongolian Baiti" w:eastAsia="方正小标宋简体" w:cs="Mongolian Baiti"/>
          <w:bCs/>
          <w:color w:val="000000"/>
          <w:sz w:val="44"/>
          <w:szCs w:val="44"/>
        </w:rPr>
        <w:t>行政处罚决定书</w:t>
      </w:r>
      <w:bookmarkEnd w:id="0"/>
      <w:r>
        <w:rPr>
          <w:rFonts w:hint="eastAsia" w:ascii="仿宋" w:hAnsi="仿宋" w:eastAsia="仿宋" w:cs="仿宋"/>
          <w:bCs/>
          <w:color w:val="000000"/>
          <w:sz w:val="32"/>
          <w:szCs w:val="32"/>
          <w:u w:val="none"/>
          <w:lang w:val="en-US" w:eastAsia="zh-CN"/>
        </w:rPr>
        <w:t xml:space="preserve">   </w:t>
      </w:r>
    </w:p>
    <w:p w14:paraId="41751C40">
      <w:pPr>
        <w:keepNext w:val="0"/>
        <w:keepLines w:val="0"/>
        <w:pageBreakBefore w:val="0"/>
        <w:widowControl/>
        <w:kinsoku/>
        <w:wordWrap/>
        <w:overflowPunct/>
        <w:topLinePunct w:val="0"/>
        <w:bidi w:val="0"/>
        <w:snapToGrid w:val="0"/>
        <w:spacing w:line="440" w:lineRule="exact"/>
        <w:ind w:right="55"/>
        <w:jc w:val="center"/>
        <w:textAlignment w:val="auto"/>
        <w:outlineLvl w:val="1"/>
        <w:rPr>
          <w:rFonts w:hint="eastAsia" w:ascii="仿宋" w:hAnsi="仿宋" w:eastAsia="仿宋" w:cs="仿宋"/>
          <w:bCs/>
          <w:color w:val="000000"/>
          <w:sz w:val="32"/>
          <w:szCs w:val="32"/>
        </w:rPr>
      </w:pPr>
      <w:r>
        <w:rPr>
          <w:rFonts w:hint="eastAsia" w:ascii="仿宋" w:hAnsi="仿宋" w:eastAsia="仿宋" w:cs="仿宋"/>
          <w:bCs/>
          <w:color w:val="000000"/>
          <w:sz w:val="32"/>
          <w:szCs w:val="32"/>
          <w:u w:val="single"/>
        </w:rPr>
        <w:t>平</w:t>
      </w:r>
      <w:r>
        <w:rPr>
          <w:rFonts w:hint="eastAsia" w:ascii="仿宋" w:hAnsi="仿宋" w:eastAsia="仿宋" w:cs="仿宋"/>
          <w:bCs/>
          <w:color w:val="000000"/>
          <w:sz w:val="32"/>
          <w:szCs w:val="32"/>
        </w:rPr>
        <w:t>市监处罚〔</w:t>
      </w:r>
      <w:r>
        <w:rPr>
          <w:rFonts w:hint="eastAsia" w:ascii="仿宋" w:hAnsi="仿宋" w:eastAsia="仿宋" w:cs="仿宋"/>
          <w:bCs/>
          <w:color w:val="000000"/>
          <w:sz w:val="32"/>
          <w:szCs w:val="32"/>
          <w:u w:val="single"/>
        </w:rPr>
        <w:t>202</w:t>
      </w:r>
      <w:r>
        <w:rPr>
          <w:rFonts w:hint="eastAsia" w:ascii="仿宋" w:hAnsi="仿宋" w:eastAsia="仿宋" w:cs="仿宋"/>
          <w:bCs/>
          <w:color w:val="000000"/>
          <w:sz w:val="32"/>
          <w:szCs w:val="32"/>
          <w:u w:val="single"/>
          <w:lang w:val="en-US" w:eastAsia="zh-CN"/>
        </w:rPr>
        <w:t>5</w:t>
      </w:r>
      <w:r>
        <w:rPr>
          <w:rFonts w:hint="eastAsia" w:ascii="仿宋" w:hAnsi="仿宋" w:eastAsia="仿宋" w:cs="仿宋"/>
          <w:bCs/>
          <w:color w:val="000000"/>
          <w:sz w:val="32"/>
          <w:szCs w:val="32"/>
        </w:rPr>
        <w:t>〕</w:t>
      </w:r>
      <w:r>
        <w:rPr>
          <w:rFonts w:hint="eastAsia" w:ascii="仿宋" w:hAnsi="仿宋" w:eastAsia="仿宋" w:cs="仿宋"/>
          <w:bCs/>
          <w:color w:val="000000"/>
          <w:sz w:val="32"/>
          <w:szCs w:val="32"/>
          <w:u w:val="single"/>
          <w:lang w:val="en-US" w:eastAsia="zh-CN"/>
        </w:rPr>
        <w:t>ND048</w:t>
      </w:r>
      <w:r>
        <w:rPr>
          <w:rFonts w:hint="eastAsia" w:ascii="仿宋" w:hAnsi="仿宋" w:eastAsia="仿宋" w:cs="仿宋"/>
          <w:bCs/>
          <w:color w:val="000000"/>
          <w:sz w:val="32"/>
          <w:szCs w:val="32"/>
        </w:rPr>
        <w:t>号</w:t>
      </w:r>
    </w:p>
    <w:p w14:paraId="66AD38E2">
      <w:pPr>
        <w:keepNext w:val="0"/>
        <w:keepLines w:val="0"/>
        <w:pageBreakBefore w:val="0"/>
        <w:kinsoku/>
        <w:wordWrap/>
        <w:overflowPunct/>
        <w:topLinePunct w:val="0"/>
        <w:bidi w:val="0"/>
        <w:snapToGrid/>
        <w:spacing w:line="560" w:lineRule="exact"/>
        <w:ind w:left="140" w:hanging="140"/>
        <w:textAlignment w:val="auto"/>
        <w:rPr>
          <w:rFonts w:hint="eastAsia" w:ascii="Times New Roman" w:hAnsi="Times New Roman" w:eastAsia="仿宋_GB2312" w:cs="Mongolian Baiti"/>
          <w:bCs/>
          <w:sz w:val="32"/>
          <w:szCs w:val="32"/>
        </w:rPr>
      </w:pPr>
      <w:r>
        <w:rPr>
          <w:rFonts w:hint="eastAsia" w:ascii="Times New Roman" w:hAnsi="Times New Roman" w:eastAsia="仿宋_GB2312" w:cs="Mongolian Baiti"/>
          <w:bCs/>
          <w:kern w:val="1"/>
          <w:sz w:val="32"/>
          <w:szCs w:val="32"/>
        </w:rPr>
        <w:t>当事人：</w:t>
      </w:r>
      <w:r>
        <w:rPr>
          <w:rFonts w:hint="eastAsia" w:ascii="仿宋_GB2312" w:hAnsi="Times New Roman" w:eastAsia="仿宋_GB2312"/>
          <w:sz w:val="32"/>
          <w:szCs w:val="32"/>
          <w:u w:val="single"/>
        </w:rPr>
        <w:t xml:space="preserve"> </w:t>
      </w:r>
      <w:r>
        <w:rPr>
          <w:rFonts w:hint="eastAsia" w:ascii="仿宋_GB2312" w:hAnsi="Times New Roman" w:eastAsia="仿宋_GB2312"/>
          <w:sz w:val="32"/>
          <w:szCs w:val="32"/>
          <w:u w:val="single"/>
          <w:lang w:eastAsia="zh-CN"/>
        </w:rPr>
        <w:t>平山县众仁大药房</w:t>
      </w:r>
      <w:r>
        <w:rPr>
          <w:rFonts w:hint="eastAsia" w:ascii="仿宋_GB2312" w:hAnsi="Times New Roman" w:eastAsia="仿宋_GB2312"/>
          <w:sz w:val="32"/>
          <w:szCs w:val="32"/>
          <w:u w:val="single"/>
        </w:rPr>
        <w:t xml:space="preserve">           </w:t>
      </w:r>
      <w:r>
        <w:rPr>
          <w:rFonts w:hint="eastAsia" w:ascii="仿宋_GB2312" w:hAnsi="Times New Roman" w:eastAsia="仿宋_GB2312"/>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14:paraId="3C1182B4">
      <w:pPr>
        <w:keepNext w:val="0"/>
        <w:keepLines w:val="0"/>
        <w:pageBreakBefore w:val="0"/>
        <w:kinsoku/>
        <w:wordWrap/>
        <w:overflowPunct/>
        <w:topLinePunct w:val="0"/>
        <w:bidi w:val="0"/>
        <w:snapToGrid/>
        <w:spacing w:line="560" w:lineRule="exact"/>
        <w:ind w:left="140" w:hanging="140"/>
        <w:textAlignment w:val="auto"/>
        <w:rPr>
          <w:rFonts w:hint="eastAsia" w:ascii="Times New Roman" w:hAnsi="Times New Roman" w:eastAsia="仿宋_GB2312" w:cs="Mongolian Baiti"/>
          <w:sz w:val="32"/>
          <w:szCs w:val="32"/>
        </w:rPr>
      </w:pPr>
      <w:r>
        <w:rPr>
          <w:rFonts w:hint="eastAsia" w:ascii="Times New Roman" w:hAnsi="Times New Roman" w:eastAsia="仿宋_GB2312" w:cs="微软雅黑"/>
          <w:bCs/>
          <w:kern w:val="1"/>
          <w:sz w:val="32"/>
          <w:szCs w:val="32"/>
        </w:rPr>
        <w:t>主体资格证照</w:t>
      </w:r>
      <w:r>
        <w:rPr>
          <w:rFonts w:hint="eastAsia" w:ascii="Times New Roman" w:hAnsi="Times New Roman" w:eastAsia="仿宋_GB2312" w:cs="Mongolian Baiti"/>
          <w:kern w:val="1"/>
          <w:sz w:val="32"/>
          <w:szCs w:val="32"/>
        </w:rPr>
        <w:t>名称：</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eastAsia="zh-CN"/>
        </w:rPr>
        <w:t>营业执照</w:t>
      </w:r>
      <w:r>
        <w:rPr>
          <w:rFonts w:hint="eastAsia" w:ascii="Times New Roman" w:hAnsi="Times New Roman" w:eastAsia="仿宋_GB2312" w:cs="Mongolian Baiti"/>
          <w:kern w:val="1"/>
          <w:sz w:val="32"/>
          <w:szCs w:val="32"/>
          <w:u w:val="single"/>
        </w:rPr>
        <w:t xml:space="preserve">                                   </w:t>
      </w:r>
    </w:p>
    <w:p w14:paraId="05F82EC7">
      <w:pPr>
        <w:keepNext w:val="0"/>
        <w:keepLines w:val="0"/>
        <w:pageBreakBefore w:val="0"/>
        <w:kinsoku/>
        <w:wordWrap/>
        <w:overflowPunct/>
        <w:topLinePunct w:val="0"/>
        <w:bidi w:val="0"/>
        <w:snapToGrid/>
        <w:spacing w:line="560" w:lineRule="exact"/>
        <w:ind w:left="140" w:hanging="140"/>
        <w:textAlignment w:val="auto"/>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统一社会信用代码：</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91130131586930722M</w:t>
      </w:r>
      <w:r>
        <w:rPr>
          <w:rFonts w:hint="eastAsia" w:ascii="Times New Roman" w:hAnsi="Times New Roman" w:eastAsia="仿宋_GB2312" w:cs="Mongolian Baiti"/>
          <w:kern w:val="1"/>
          <w:sz w:val="32"/>
          <w:szCs w:val="32"/>
          <w:u w:val="single"/>
        </w:rPr>
        <w:t xml:space="preserve">                                 </w:t>
      </w:r>
    </w:p>
    <w:p w14:paraId="7F91A2CD">
      <w:pPr>
        <w:keepNext w:val="0"/>
        <w:keepLines w:val="0"/>
        <w:pageBreakBefore w:val="0"/>
        <w:kinsoku/>
        <w:wordWrap/>
        <w:overflowPunct/>
        <w:topLinePunct w:val="0"/>
        <w:bidi w:val="0"/>
        <w:snapToGrid/>
        <w:spacing w:line="560" w:lineRule="exact"/>
        <w:textAlignment w:val="auto"/>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住所（住址）：</w:t>
      </w:r>
      <w:r>
        <w:rPr>
          <w:rFonts w:hint="eastAsia" w:ascii="Times New Roman" w:hAnsi="Times New Roman" w:eastAsia="仿宋_GB2312" w:cs="Mongolian Baiti"/>
          <w:kern w:val="1"/>
          <w:sz w:val="32"/>
          <w:szCs w:val="32"/>
          <w:u w:val="single"/>
        </w:rPr>
        <w:t xml:space="preserve"> </w:t>
      </w:r>
      <w:r>
        <w:rPr>
          <w:rFonts w:hint="eastAsia" w:ascii="仿宋" w:hAnsi="仿宋" w:cs="仿宋"/>
          <w:color w:val="000000"/>
          <w:sz w:val="32"/>
          <w:szCs w:val="32"/>
          <w:u w:val="single"/>
          <w:lang w:val="en-US" w:eastAsia="zh-CN"/>
        </w:rPr>
        <w:t>***</w:t>
      </w:r>
      <w:r>
        <w:rPr>
          <w:rFonts w:hint="eastAsia" w:ascii="Times New Roman" w:hAnsi="Times New Roman" w:eastAsia="仿宋_GB2312" w:cs="Mongolian Baiti"/>
          <w:kern w:val="1"/>
          <w:sz w:val="32"/>
          <w:szCs w:val="32"/>
          <w:u w:val="single"/>
        </w:rPr>
        <w:t xml:space="preserve">                                      </w:t>
      </w:r>
    </w:p>
    <w:p w14:paraId="122FE1D8">
      <w:pPr>
        <w:keepNext w:val="0"/>
        <w:keepLines w:val="0"/>
        <w:pageBreakBefore w:val="0"/>
        <w:kinsoku/>
        <w:wordWrap/>
        <w:overflowPunct/>
        <w:topLinePunct w:val="0"/>
        <w:bidi w:val="0"/>
        <w:snapToGrid/>
        <w:spacing w:line="560" w:lineRule="exact"/>
        <w:textAlignment w:val="auto"/>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Times New Roman" w:hAnsi="Times New Roman" w:eastAsia="仿宋_GB2312" w:cs="Mongolian Baiti"/>
          <w:kern w:val="1"/>
          <w:sz w:val="32"/>
          <w:szCs w:val="32"/>
          <w:u w:val="single"/>
        </w:rPr>
        <w:t xml:space="preserve"> </w:t>
      </w:r>
      <w:r>
        <w:rPr>
          <w:rFonts w:hint="eastAsia" w:ascii="仿宋" w:hAnsi="仿宋" w:eastAsia="仿宋" w:cs="仿宋"/>
          <w:w w:val="100"/>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w:t>
      </w:r>
      <w:r>
        <w:rPr>
          <w:rFonts w:hint="eastAsia" w:ascii="Times New Roman" w:hAnsi="Times New Roman" w:eastAsia="仿宋_GB2312" w:cs="Mongolian Baiti"/>
          <w:kern w:val="1"/>
          <w:sz w:val="32"/>
          <w:szCs w:val="32"/>
          <w:u w:val="single"/>
        </w:rPr>
        <w:t xml:space="preserve">                         </w:t>
      </w:r>
    </w:p>
    <w:p w14:paraId="09F5189E">
      <w:pPr>
        <w:keepNext w:val="0"/>
        <w:keepLines w:val="0"/>
        <w:pageBreakBefore w:val="0"/>
        <w:kinsoku/>
        <w:wordWrap/>
        <w:overflowPunct/>
        <w:topLinePunct w:val="0"/>
        <w:bidi w:val="0"/>
        <w:spacing w:line="480" w:lineRule="exact"/>
        <w:textAlignment w:val="auto"/>
        <w:rPr>
          <w:rFonts w:hint="default" w:ascii="仿宋" w:hAnsi="仿宋" w:eastAsia="仿宋" w:cs="仿宋"/>
          <w:kern w:val="1"/>
          <w:sz w:val="32"/>
          <w:szCs w:val="32"/>
          <w:lang w:val="en-US" w:eastAsia="zh-CN"/>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lang w:val="en-US" w:eastAsia="zh-CN"/>
        </w:rPr>
        <w:t>***</w:t>
      </w:r>
      <w:bookmarkStart w:id="1" w:name="_GoBack"/>
      <w:bookmarkEnd w:id="1"/>
      <w:r>
        <w:rPr>
          <w:rFonts w:hint="eastAsia" w:ascii="Times New Roman" w:hAnsi="Times New Roman" w:eastAsia="仿宋_GB2312" w:cs="Mongolian Baiti"/>
          <w:kern w:val="1"/>
          <w:sz w:val="32"/>
          <w:szCs w:val="32"/>
          <w:u w:val="single"/>
        </w:rPr>
        <w:t xml:space="preserve">                   </w:t>
      </w:r>
      <w:r>
        <w:rPr>
          <w:rFonts w:hint="eastAsia" w:ascii="仿宋" w:hAnsi="仿宋" w:eastAsia="仿宋" w:cs="仿宋"/>
          <w:kern w:val="1"/>
          <w:sz w:val="32"/>
          <w:szCs w:val="32"/>
          <w:u w:val="single"/>
          <w:lang w:val="en-US" w:eastAsia="zh-CN"/>
        </w:rPr>
        <w:t xml:space="preserve">      </w:t>
      </w:r>
    </w:p>
    <w:p w14:paraId="78A227AA">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highlight w:val="none"/>
          <w:u w:val="single"/>
          <w:shd w:val="clear" w:color="auto" w:fill="auto"/>
        </w:rPr>
        <w:t>2025年9月</w:t>
      </w:r>
      <w:r>
        <w:rPr>
          <w:rFonts w:hint="eastAsia" w:ascii="仿宋_GB2312" w:hAnsi="仿宋_GB2312" w:eastAsia="仿宋_GB2312" w:cs="仿宋_GB2312"/>
          <w:sz w:val="32"/>
          <w:szCs w:val="32"/>
          <w:highlight w:val="none"/>
          <w:u w:val="single"/>
          <w:shd w:val="clear" w:color="auto" w:fill="auto"/>
          <w:lang w:val="en-US" w:eastAsia="zh-CN"/>
        </w:rPr>
        <w:t>19</w:t>
      </w:r>
      <w:r>
        <w:rPr>
          <w:rFonts w:hint="eastAsia" w:ascii="仿宋_GB2312" w:hAnsi="仿宋_GB2312" w:eastAsia="仿宋_GB2312" w:cs="仿宋_GB2312"/>
          <w:sz w:val="32"/>
          <w:szCs w:val="32"/>
          <w:highlight w:val="none"/>
          <w:u w:val="single"/>
          <w:shd w:val="clear" w:color="auto" w:fill="auto"/>
        </w:rPr>
        <w:t>日，我局执法人员在日常监督检查中发现该药房2025年9月</w:t>
      </w:r>
      <w:r>
        <w:rPr>
          <w:rFonts w:hint="eastAsia" w:ascii="仿宋_GB2312" w:hAnsi="仿宋_GB2312" w:eastAsia="仿宋_GB2312" w:cs="仿宋_GB2312"/>
          <w:sz w:val="32"/>
          <w:szCs w:val="32"/>
          <w:highlight w:val="none"/>
          <w:u w:val="single"/>
          <w:shd w:val="clear" w:color="auto" w:fill="auto"/>
          <w:lang w:val="en-US" w:eastAsia="zh-CN"/>
        </w:rPr>
        <w:t>19</w:t>
      </w:r>
      <w:r>
        <w:rPr>
          <w:rFonts w:hint="eastAsia" w:ascii="仿宋_GB2312" w:hAnsi="仿宋_GB2312" w:eastAsia="仿宋_GB2312" w:cs="仿宋_GB2312"/>
          <w:sz w:val="32"/>
          <w:szCs w:val="32"/>
          <w:highlight w:val="none"/>
          <w:u w:val="single"/>
          <w:shd w:val="clear" w:color="auto" w:fill="auto"/>
        </w:rPr>
        <w:t>日</w:t>
      </w:r>
      <w:r>
        <w:rPr>
          <w:rFonts w:hint="eastAsia" w:ascii="仿宋_GB2312" w:hAnsi="仿宋_GB2312" w:eastAsia="仿宋_GB2312" w:cs="仿宋_GB2312"/>
          <w:sz w:val="32"/>
          <w:szCs w:val="32"/>
          <w:highlight w:val="none"/>
          <w:u w:val="single"/>
          <w:shd w:val="clear" w:color="auto" w:fill="auto"/>
          <w:lang w:eastAsia="zh-CN"/>
        </w:rPr>
        <w:t>销售</w:t>
      </w:r>
      <w:r>
        <w:rPr>
          <w:rFonts w:hint="eastAsia" w:ascii="仿宋_GB2312" w:hAnsi="仿宋_GB2312" w:eastAsia="仿宋_GB2312" w:cs="仿宋_GB2312"/>
          <w:sz w:val="32"/>
          <w:szCs w:val="32"/>
          <w:highlight w:val="none"/>
          <w:u w:val="single"/>
          <w:shd w:val="clear" w:color="auto" w:fill="auto"/>
          <w:lang w:val="en-US" w:eastAsia="zh-CN"/>
        </w:rPr>
        <w:t>1</w:t>
      </w:r>
      <w:r>
        <w:rPr>
          <w:rFonts w:hint="eastAsia" w:ascii="仿宋_GB2312" w:hAnsi="仿宋_GB2312" w:eastAsia="仿宋_GB2312" w:cs="仿宋_GB2312"/>
          <w:sz w:val="32"/>
          <w:szCs w:val="32"/>
          <w:highlight w:val="none"/>
          <w:u w:val="single"/>
          <w:shd w:val="clear" w:color="auto" w:fill="auto"/>
        </w:rPr>
        <w:t>盒“</w:t>
      </w:r>
      <w:r>
        <w:rPr>
          <w:rFonts w:hint="eastAsia" w:ascii="仿宋_GB2312" w:hAnsi="仿宋_GB2312" w:eastAsia="仿宋_GB2312" w:cs="仿宋_GB2312"/>
          <w:sz w:val="32"/>
          <w:szCs w:val="32"/>
          <w:highlight w:val="none"/>
          <w:u w:val="single"/>
          <w:shd w:val="clear" w:color="auto" w:fill="auto"/>
          <w:lang w:eastAsia="zh-CN"/>
        </w:rPr>
        <w:t>盐酸二甲双胍肠溶片</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0.25g*100片</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52020960</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20241163</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贵州天安药业有限公司</w:t>
      </w:r>
      <w:r>
        <w:rPr>
          <w:rFonts w:hint="eastAsia" w:ascii="仿宋_GB2312" w:hAnsi="仿宋_GB2312" w:eastAsia="仿宋_GB2312" w:cs="仿宋_GB2312"/>
          <w:sz w:val="32"/>
          <w:szCs w:val="32"/>
          <w:highlight w:val="none"/>
          <w:u w:val="single"/>
          <w:shd w:val="clear" w:color="auto" w:fill="auto"/>
          <w:lang w:val="en-US" w:eastAsia="zh-CN"/>
        </w:rPr>
        <w:t xml:space="preserve"> </w:t>
      </w:r>
      <w:r>
        <w:rPr>
          <w:rFonts w:hint="eastAsia" w:ascii="仿宋_GB2312" w:hAnsi="仿宋_GB2312" w:eastAsia="仿宋_GB2312" w:cs="仿宋_GB2312"/>
          <w:sz w:val="32"/>
          <w:szCs w:val="32"/>
          <w:highlight w:val="none"/>
          <w:u w:val="single"/>
          <w:shd w:val="clear" w:color="auto" w:fill="auto"/>
        </w:rPr>
        <w:t>）的销售记录，当事人提供了上述批次药品的供货方资质、随货同行单，未能提供售出药品“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盐酸二甲双胍肠溶片</w:t>
      </w:r>
      <w:r>
        <w:rPr>
          <w:rFonts w:hint="eastAsia" w:ascii="仿宋_GB2312" w:hAnsi="仿宋_GB2312" w:eastAsia="仿宋_GB2312" w:cs="仿宋_GB2312"/>
          <w:sz w:val="32"/>
          <w:szCs w:val="32"/>
          <w:highlight w:val="none"/>
          <w:u w:val="single"/>
          <w:shd w:val="clear" w:color="auto" w:fill="auto"/>
        </w:rPr>
        <w:t>”的处方凭证，我局执法人员对该药房当场下达责令改正通知书，责令其于2025年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9</w:t>
      </w:r>
      <w:r>
        <w:rPr>
          <w:rFonts w:hint="eastAsia" w:ascii="仿宋_GB2312" w:hAnsi="仿宋_GB2312" w:eastAsia="仿宋_GB2312" w:cs="仿宋_GB2312"/>
          <w:sz w:val="32"/>
          <w:szCs w:val="32"/>
          <w:highlight w:val="none"/>
          <w:u w:val="single"/>
          <w:shd w:val="clear" w:color="auto" w:fill="auto"/>
        </w:rPr>
        <w:t>日前改正上述违法行为。2025年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13</w:t>
      </w:r>
      <w:r>
        <w:rPr>
          <w:rFonts w:hint="eastAsia" w:ascii="仿宋_GB2312" w:hAnsi="仿宋_GB2312" w:eastAsia="仿宋_GB2312" w:cs="仿宋_GB2312"/>
          <w:sz w:val="32"/>
          <w:szCs w:val="32"/>
          <w:highlight w:val="none"/>
          <w:u w:val="single"/>
          <w:shd w:val="clear" w:color="auto" w:fill="auto"/>
        </w:rPr>
        <w:t>日我局执法人员再次对该药房进行现场检查，发现该药房于2025年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13</w:t>
      </w:r>
      <w:r>
        <w:rPr>
          <w:rFonts w:hint="eastAsia" w:ascii="仿宋_GB2312" w:hAnsi="仿宋_GB2312" w:eastAsia="仿宋_GB2312" w:cs="仿宋_GB2312"/>
          <w:sz w:val="32"/>
          <w:szCs w:val="32"/>
          <w:highlight w:val="none"/>
          <w:u w:val="single"/>
          <w:shd w:val="clear" w:color="auto" w:fill="auto"/>
        </w:rPr>
        <w:t>日售出的1盒“</w:t>
      </w:r>
      <w:r>
        <w:rPr>
          <w:rFonts w:hint="eastAsia" w:ascii="仿宋_GB2312" w:hAnsi="仿宋_GB2312" w:eastAsia="仿宋_GB2312" w:cs="仿宋_GB2312"/>
          <w:sz w:val="32"/>
          <w:szCs w:val="32"/>
          <w:highlight w:val="none"/>
          <w:u w:val="single"/>
          <w:shd w:val="clear" w:color="auto" w:fill="auto"/>
          <w:lang w:eastAsia="zh-CN"/>
        </w:rPr>
        <w:t>阿莫西林胶囊</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0.25g</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val="en-US" w:eastAsia="zh-CN"/>
        </w:rPr>
        <w:t>20粒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13023964</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340231003</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石药集团中诺药业（石家庄）有限公司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）的销售记录，当事人提供了上述批次药品的计算机出入库记录及库存凭证、供货方资质、随货同行单，未能提供售出药品“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阿莫西林胶囊</w:t>
      </w:r>
      <w:r>
        <w:rPr>
          <w:rFonts w:hint="eastAsia" w:ascii="仿宋_GB2312" w:hAnsi="仿宋_GB2312" w:eastAsia="仿宋_GB2312" w:cs="仿宋_GB2312"/>
          <w:sz w:val="32"/>
          <w:szCs w:val="32"/>
          <w:highlight w:val="none"/>
          <w:u w:val="single"/>
          <w:shd w:val="clear" w:color="auto" w:fill="auto"/>
        </w:rPr>
        <w:t>”的处方凭证。本案未采取强制措施。2025年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14</w:t>
      </w:r>
      <w:r>
        <w:rPr>
          <w:rFonts w:hint="eastAsia" w:ascii="仿宋_GB2312" w:hAnsi="仿宋_GB2312" w:eastAsia="仿宋_GB2312" w:cs="仿宋_GB2312"/>
          <w:sz w:val="32"/>
          <w:szCs w:val="32"/>
          <w:highlight w:val="none"/>
          <w:u w:val="single"/>
          <w:shd w:val="clear" w:color="auto" w:fill="auto"/>
        </w:rPr>
        <w:t xml:space="preserve">日对当事人进行询问调查，执法人员依法收集相关记录材料，调查期间未采取行政强制措施。 </w:t>
      </w:r>
      <w:r>
        <w:rPr>
          <w:rFonts w:hint="eastAsia" w:ascii="仿宋_GB2312" w:hAnsi="仿宋_GB2312" w:eastAsia="仿宋_GB2312" w:cs="仿宋_GB2312"/>
          <w:sz w:val="32"/>
          <w:szCs w:val="32"/>
          <w:u w:val="single"/>
          <w:shd w:val="clear" w:color="auto" w:fill="auto"/>
          <w:lang w:val="en-US" w:eastAsia="zh-CN"/>
        </w:rPr>
        <w:t xml:space="preserve"> </w:t>
      </w:r>
      <w:r>
        <w:rPr>
          <w:rFonts w:hint="eastAsia" w:ascii="仿宋_GB2312" w:hAnsi="仿宋_GB2312" w:eastAsia="仿宋_GB2312" w:cs="仿宋_GB2312"/>
          <w:kern w:val="0"/>
          <w:sz w:val="32"/>
          <w:szCs w:val="32"/>
          <w:u w:val="single"/>
          <w:shd w:val="clear" w:color="auto" w:fill="auto"/>
          <w:lang w:val="en-US" w:eastAsia="zh-CN" w:bidi="ar"/>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w:t>
      </w:r>
      <w:r>
        <w:rPr>
          <w:rFonts w:hint="eastAsia" w:ascii="仿宋_GB2312" w:hAnsi="仿宋_GB2312" w:eastAsia="仿宋_GB2312" w:cs="仿宋_GB2312"/>
          <w:sz w:val="32"/>
          <w:szCs w:val="32"/>
          <w:u w:val="none"/>
          <w:lang w:val="en-US" w:eastAsia="zh-CN"/>
        </w:rPr>
        <w:t xml:space="preserve">                         </w:t>
      </w:r>
    </w:p>
    <w:p w14:paraId="741F3547">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000000"/>
          <w:sz w:val="32"/>
          <w:szCs w:val="32"/>
          <w:u w:val="single"/>
        </w:rPr>
      </w:pPr>
      <w:r>
        <w:rPr>
          <w:rFonts w:hint="eastAsia" w:ascii="仿宋_GB2312" w:hAnsi="仿宋_GB2312" w:eastAsia="仿宋_GB2312" w:cs="仿宋_GB2312"/>
          <w:sz w:val="32"/>
          <w:szCs w:val="32"/>
          <w:u w:val="single"/>
          <w:shd w:val="clear" w:color="auto" w:fill="auto"/>
          <w:lang w:val="en-US" w:eastAsia="zh-CN"/>
        </w:rPr>
        <w:t>2025年10月13日</w:t>
      </w:r>
      <w:r>
        <w:rPr>
          <w:rFonts w:hint="eastAsia" w:ascii="仿宋_GB2312" w:hAnsi="仿宋_GB2312" w:eastAsia="仿宋_GB2312" w:cs="仿宋_GB2312"/>
          <w:sz w:val="32"/>
          <w:szCs w:val="32"/>
          <w:u w:val="single"/>
          <w:shd w:val="clear" w:color="auto" w:fill="auto"/>
        </w:rPr>
        <w:t>我局予以立案</w:t>
      </w:r>
      <w:r>
        <w:rPr>
          <w:rFonts w:hint="eastAsia" w:ascii="仿宋_GB2312" w:hAnsi="仿宋_GB2312" w:eastAsia="仿宋_GB2312" w:cs="仿宋_GB2312"/>
          <w:sz w:val="32"/>
          <w:szCs w:val="32"/>
          <w:u w:val="single"/>
          <w:shd w:val="clear" w:color="auto" w:fill="auto"/>
          <w:lang w:eastAsia="zh-CN"/>
        </w:rPr>
        <w:t>。</w:t>
      </w:r>
      <w:r>
        <w:rPr>
          <w:rFonts w:hint="eastAsia" w:ascii="仿宋_GB2312" w:hAnsi="仿宋_GB2312" w:eastAsia="仿宋_GB2312" w:cs="仿宋_GB2312"/>
          <w:sz w:val="32"/>
          <w:szCs w:val="32"/>
          <w:u w:val="single"/>
          <w:shd w:val="clear" w:color="auto" w:fill="auto"/>
        </w:rPr>
        <w:t xml:space="preserve">                         </w:t>
      </w:r>
      <w:r>
        <w:rPr>
          <w:rFonts w:hint="eastAsia" w:ascii="仿宋" w:hAnsi="仿宋" w:eastAsia="仿宋" w:cs="仿宋"/>
          <w:sz w:val="32"/>
          <w:szCs w:val="32"/>
          <w:u w:val="single"/>
        </w:rPr>
        <w:t xml:space="preserve">                      </w:t>
      </w:r>
      <w:r>
        <w:rPr>
          <w:rFonts w:hint="eastAsia" w:ascii="仿宋" w:hAnsi="仿宋" w:eastAsia="仿宋" w:cs="仿宋"/>
          <w:color w:val="000000"/>
          <w:sz w:val="32"/>
          <w:szCs w:val="32"/>
          <w:u w:val="single"/>
        </w:rPr>
        <w:t xml:space="preserve">   </w:t>
      </w:r>
      <w:r>
        <w:rPr>
          <w:rFonts w:hint="eastAsia" w:ascii="仿宋" w:hAnsi="仿宋" w:eastAsia="仿宋" w:cs="仿宋"/>
          <w:kern w:val="1"/>
          <w:sz w:val="32"/>
          <w:szCs w:val="32"/>
          <w:u w:val="single"/>
        </w:rPr>
        <w:t xml:space="preserve">                                     </w:t>
      </w:r>
      <w:r>
        <w:rPr>
          <w:rFonts w:hint="eastAsia" w:ascii="仿宋" w:hAnsi="仿宋" w:eastAsia="仿宋" w:cs="仿宋"/>
          <w:color w:val="000000"/>
          <w:sz w:val="32"/>
          <w:szCs w:val="32"/>
          <w:u w:val="single"/>
        </w:rPr>
        <w:t xml:space="preserve">                                                 </w:t>
      </w:r>
    </w:p>
    <w:p w14:paraId="1B25075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right="0" w:firstLine="640" w:firstLineChars="200"/>
        <w:jc w:val="left"/>
        <w:textAlignment w:val="auto"/>
        <w:rPr>
          <w:rFonts w:hint="default" w:ascii="仿宋" w:hAnsi="仿宋" w:eastAsia="仿宋" w:cs="仿宋_GB2312"/>
          <w:sz w:val="32"/>
          <w:szCs w:val="32"/>
          <w:u w:val="single"/>
          <w:lang w:val="en-US" w:eastAsia="zh-CN"/>
        </w:rPr>
      </w:pPr>
      <w:r>
        <w:rPr>
          <w:rFonts w:hint="eastAsia" w:ascii="仿宋" w:hAnsi="仿宋" w:eastAsia="仿宋" w:cs="仿宋"/>
          <w:kern w:val="1"/>
          <w:sz w:val="32"/>
          <w:szCs w:val="32"/>
        </w:rPr>
        <w:t>经查，</w:t>
      </w:r>
      <w:r>
        <w:rPr>
          <w:rFonts w:hint="eastAsia" w:ascii="仿宋_GB2312" w:hAnsi="仿宋_GB2312" w:eastAsia="仿宋_GB2312" w:cs="仿宋_GB2312"/>
          <w:sz w:val="32"/>
          <w:szCs w:val="32"/>
          <w:highlight w:val="none"/>
          <w:u w:val="single"/>
          <w:shd w:val="clear" w:color="auto" w:fill="auto"/>
        </w:rPr>
        <w:t>2025年9月</w:t>
      </w:r>
      <w:r>
        <w:rPr>
          <w:rFonts w:hint="eastAsia" w:ascii="仿宋_GB2312" w:hAnsi="仿宋_GB2312" w:eastAsia="仿宋_GB2312" w:cs="仿宋_GB2312"/>
          <w:sz w:val="32"/>
          <w:szCs w:val="32"/>
          <w:highlight w:val="none"/>
          <w:u w:val="single"/>
          <w:shd w:val="clear" w:color="auto" w:fill="auto"/>
          <w:lang w:val="en-US" w:eastAsia="zh-CN"/>
        </w:rPr>
        <w:t>19</w:t>
      </w:r>
      <w:r>
        <w:rPr>
          <w:rFonts w:hint="eastAsia" w:ascii="仿宋_GB2312" w:hAnsi="仿宋_GB2312" w:eastAsia="仿宋_GB2312" w:cs="仿宋_GB2312"/>
          <w:sz w:val="32"/>
          <w:szCs w:val="32"/>
          <w:highlight w:val="none"/>
          <w:u w:val="single"/>
          <w:shd w:val="clear" w:color="auto" w:fill="auto"/>
        </w:rPr>
        <w:t>日，我局执法人员在日常监督检查中发现该药房2025年9月</w:t>
      </w:r>
      <w:r>
        <w:rPr>
          <w:rFonts w:hint="eastAsia" w:ascii="仿宋_GB2312" w:hAnsi="仿宋_GB2312" w:eastAsia="仿宋_GB2312" w:cs="仿宋_GB2312"/>
          <w:sz w:val="32"/>
          <w:szCs w:val="32"/>
          <w:highlight w:val="none"/>
          <w:u w:val="single"/>
          <w:shd w:val="clear" w:color="auto" w:fill="auto"/>
          <w:lang w:val="en-US" w:eastAsia="zh-CN"/>
        </w:rPr>
        <w:t>19</w:t>
      </w:r>
      <w:r>
        <w:rPr>
          <w:rFonts w:hint="eastAsia" w:ascii="仿宋_GB2312" w:hAnsi="仿宋_GB2312" w:eastAsia="仿宋_GB2312" w:cs="仿宋_GB2312"/>
          <w:sz w:val="32"/>
          <w:szCs w:val="32"/>
          <w:highlight w:val="none"/>
          <w:u w:val="single"/>
          <w:shd w:val="clear" w:color="auto" w:fill="auto"/>
        </w:rPr>
        <w:t>日</w:t>
      </w:r>
      <w:r>
        <w:rPr>
          <w:rFonts w:hint="eastAsia" w:ascii="仿宋_GB2312" w:hAnsi="仿宋_GB2312" w:eastAsia="仿宋_GB2312" w:cs="仿宋_GB2312"/>
          <w:sz w:val="32"/>
          <w:szCs w:val="32"/>
          <w:highlight w:val="none"/>
          <w:u w:val="single"/>
          <w:shd w:val="clear" w:color="auto" w:fill="auto"/>
          <w:lang w:eastAsia="zh-CN"/>
        </w:rPr>
        <w:t>销售</w:t>
      </w:r>
      <w:r>
        <w:rPr>
          <w:rFonts w:hint="eastAsia" w:ascii="仿宋_GB2312" w:hAnsi="仿宋_GB2312" w:eastAsia="仿宋_GB2312" w:cs="仿宋_GB2312"/>
          <w:sz w:val="32"/>
          <w:szCs w:val="32"/>
          <w:highlight w:val="none"/>
          <w:u w:val="single"/>
          <w:shd w:val="clear" w:color="auto" w:fill="auto"/>
          <w:lang w:val="en-US" w:eastAsia="zh-CN"/>
        </w:rPr>
        <w:t>1</w:t>
      </w:r>
      <w:r>
        <w:rPr>
          <w:rFonts w:hint="eastAsia" w:ascii="仿宋_GB2312" w:hAnsi="仿宋_GB2312" w:eastAsia="仿宋_GB2312" w:cs="仿宋_GB2312"/>
          <w:sz w:val="32"/>
          <w:szCs w:val="32"/>
          <w:highlight w:val="none"/>
          <w:u w:val="single"/>
          <w:shd w:val="clear" w:color="auto" w:fill="auto"/>
        </w:rPr>
        <w:t>盒“</w:t>
      </w:r>
      <w:r>
        <w:rPr>
          <w:rFonts w:hint="eastAsia" w:ascii="仿宋_GB2312" w:hAnsi="仿宋_GB2312" w:eastAsia="仿宋_GB2312" w:cs="仿宋_GB2312"/>
          <w:sz w:val="32"/>
          <w:szCs w:val="32"/>
          <w:highlight w:val="none"/>
          <w:u w:val="single"/>
          <w:shd w:val="clear" w:color="auto" w:fill="auto"/>
          <w:lang w:eastAsia="zh-CN"/>
        </w:rPr>
        <w:t>盐酸二甲双胍肠溶片</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val="en-US" w:eastAsia="zh-CN"/>
        </w:rPr>
        <w:t>0.25g*100片</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52020960</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20241163</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贵州天安药业有限公司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盐酸二甲双胍肠溶片</w:t>
      </w:r>
      <w:r>
        <w:rPr>
          <w:rFonts w:hint="eastAsia" w:ascii="仿宋_GB2312" w:hAnsi="仿宋_GB2312" w:eastAsia="仿宋_GB2312" w:cs="仿宋_GB2312"/>
          <w:sz w:val="32"/>
          <w:szCs w:val="32"/>
          <w:highlight w:val="none"/>
          <w:u w:val="single"/>
          <w:shd w:val="clear" w:color="auto" w:fill="auto"/>
        </w:rPr>
        <w:t>”的处方凭证，我局执法人员对该药房当场下达责令改正通知书，责令其于2025年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9</w:t>
      </w:r>
      <w:r>
        <w:rPr>
          <w:rFonts w:hint="eastAsia" w:ascii="仿宋_GB2312" w:hAnsi="仿宋_GB2312" w:eastAsia="仿宋_GB2312" w:cs="仿宋_GB2312"/>
          <w:sz w:val="32"/>
          <w:szCs w:val="32"/>
          <w:highlight w:val="none"/>
          <w:u w:val="single"/>
          <w:shd w:val="clear" w:color="auto" w:fill="auto"/>
        </w:rPr>
        <w:t>日前改正上述违法行为。2025年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13</w:t>
      </w:r>
      <w:r>
        <w:rPr>
          <w:rFonts w:hint="eastAsia" w:ascii="仿宋_GB2312" w:hAnsi="仿宋_GB2312" w:eastAsia="仿宋_GB2312" w:cs="仿宋_GB2312"/>
          <w:sz w:val="32"/>
          <w:szCs w:val="32"/>
          <w:highlight w:val="none"/>
          <w:u w:val="single"/>
          <w:shd w:val="clear" w:color="auto" w:fill="auto"/>
        </w:rPr>
        <w:t>日我局执法人员再次对该药房进行现场检查，发现该药房于2025年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13</w:t>
      </w:r>
      <w:r>
        <w:rPr>
          <w:rFonts w:hint="eastAsia" w:ascii="仿宋_GB2312" w:hAnsi="仿宋_GB2312" w:eastAsia="仿宋_GB2312" w:cs="仿宋_GB2312"/>
          <w:sz w:val="32"/>
          <w:szCs w:val="32"/>
          <w:highlight w:val="none"/>
          <w:u w:val="single"/>
          <w:shd w:val="clear" w:color="auto" w:fill="auto"/>
        </w:rPr>
        <w:t>日售出的1盒“</w:t>
      </w:r>
      <w:r>
        <w:rPr>
          <w:rFonts w:hint="eastAsia" w:ascii="仿宋_GB2312" w:hAnsi="仿宋_GB2312" w:eastAsia="仿宋_GB2312" w:cs="仿宋_GB2312"/>
          <w:sz w:val="32"/>
          <w:szCs w:val="32"/>
          <w:highlight w:val="none"/>
          <w:u w:val="single"/>
          <w:shd w:val="clear" w:color="auto" w:fill="auto"/>
          <w:lang w:eastAsia="zh-CN"/>
        </w:rPr>
        <w:t>阿莫西林胶囊</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0.25g</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val="en-US" w:eastAsia="zh-CN"/>
        </w:rPr>
        <w:t>20粒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13023964</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 xml:space="preserve"> 340231003</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石药集团中诺药业（石家庄）有限公司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）的销售记录，当事人提供了上述批次药品的计算机出入库记录及库存凭证、供货方资质、随货同行单，未能提供售出药品“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阿莫西林胶囊</w:t>
      </w:r>
      <w:r>
        <w:rPr>
          <w:rFonts w:hint="eastAsia" w:ascii="仿宋_GB2312" w:hAnsi="仿宋_GB2312" w:eastAsia="仿宋_GB2312" w:cs="仿宋_GB2312"/>
          <w:sz w:val="32"/>
          <w:szCs w:val="32"/>
          <w:highlight w:val="none"/>
          <w:u w:val="single"/>
          <w:shd w:val="clear" w:color="auto" w:fill="auto"/>
        </w:rPr>
        <w:t>”的处方凭证。</w:t>
      </w:r>
      <w:r>
        <w:rPr>
          <w:rFonts w:hint="eastAsia" w:ascii="仿宋_GB2312" w:hAnsi="仿宋_GB2312" w:eastAsia="仿宋_GB2312" w:cs="仿宋_GB2312"/>
          <w:sz w:val="32"/>
          <w:szCs w:val="32"/>
          <w:u w:val="single"/>
          <w:shd w:val="clear" w:color="auto" w:fill="auto"/>
          <w:lang w:val="en-US" w:eastAsia="zh-CN"/>
        </w:rPr>
        <w:t xml:space="preserve">当事人仍未改正上述违法行为，仍存在未按规定凭处方销售处方药的违法行为。     </w:t>
      </w:r>
      <w:r>
        <w:rPr>
          <w:rFonts w:hint="eastAsia" w:ascii="仿宋_GB2312" w:hAnsi="仿宋_GB2312" w:eastAsia="仿宋_GB2312" w:cs="仿宋_GB2312"/>
          <w:sz w:val="32"/>
          <w:szCs w:val="32"/>
          <w:u w:val="single"/>
          <w:shd w:val="clear" w:color="auto" w:fill="auto"/>
        </w:rPr>
        <w:t xml:space="preserve">    </w:t>
      </w:r>
      <w:r>
        <w:rPr>
          <w:rFonts w:hint="eastAsia" w:ascii="仿宋_GB2312" w:hAnsi="仿宋_GB2312" w:eastAsia="仿宋_GB2312" w:cs="仿宋_GB2312"/>
          <w:sz w:val="32"/>
          <w:szCs w:val="32"/>
          <w:u w:val="single"/>
          <w:shd w:val="clear" w:color="auto" w:fill="auto"/>
          <w:lang w:val="en-US" w:eastAsia="zh-CN"/>
        </w:rPr>
        <w:t xml:space="preserve">          </w:t>
      </w:r>
      <w:r>
        <w:rPr>
          <w:rFonts w:hint="eastAsia" w:ascii="仿宋" w:hAnsi="仿宋" w:eastAsia="仿宋" w:cs="仿宋_GB2312"/>
          <w:sz w:val="32"/>
          <w:szCs w:val="32"/>
          <w:u w:val="single"/>
        </w:rPr>
        <w:t xml:space="preserve"> </w:t>
      </w:r>
      <w:r>
        <w:rPr>
          <w:rFonts w:hint="eastAsia" w:ascii="仿宋" w:hAnsi="仿宋" w:eastAsia="仿宋" w:cs="仿宋_GB2312"/>
          <w:sz w:val="32"/>
          <w:szCs w:val="32"/>
          <w:u w:val="single"/>
          <w:lang w:val="en-US" w:eastAsia="zh-CN"/>
        </w:rPr>
        <w:t xml:space="preserve">                                     </w:t>
      </w:r>
    </w:p>
    <w:p w14:paraId="05E1C370">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上述事实，主要有以下证据证明：                                </w:t>
      </w:r>
    </w:p>
    <w:p w14:paraId="1F1B07EC">
      <w:pPr>
        <w:keepNext w:val="0"/>
        <w:keepLines w:val="0"/>
        <w:pageBreakBefore w:val="0"/>
        <w:kinsoku/>
        <w:wordWrap/>
        <w:overflowPunct/>
        <w:topLinePunct w:val="0"/>
        <w:autoSpaceDE/>
        <w:autoSpaceDN/>
        <w:bidi w:val="0"/>
        <w:adjustRightInd/>
        <w:snapToGrid/>
        <w:spacing w:line="480" w:lineRule="exact"/>
        <w:ind w:left="0" w:leftChars="0" w:right="0" w:rightChars="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none"/>
          <w:shd w:val="clear" w:color="auto" w:fill="auto"/>
          <w:lang w:val="en-US" w:eastAsia="zh-CN" w:bidi="ar"/>
        </w:rPr>
        <w:t xml:space="preserve">    </w:t>
      </w:r>
      <w:r>
        <w:rPr>
          <w:rFonts w:hint="eastAsia" w:ascii="仿宋_GB2312" w:hAnsi="仿宋_GB2312" w:eastAsia="仿宋_GB2312" w:cs="仿宋_GB2312"/>
          <w:kern w:val="0"/>
          <w:sz w:val="32"/>
          <w:szCs w:val="32"/>
          <w:u w:val="single"/>
          <w:shd w:val="clear" w:color="auto" w:fill="auto"/>
          <w:lang w:val="en-US" w:eastAsia="zh-CN" w:bidi="ar"/>
        </w:rPr>
        <w:t xml:space="preserve">1、当事人提供的《营业执照》复印件、《药品经营许可证》复印件、法定代表人身份证复印件、执业药师注册证复印件，第二类医疗器械经营备案凭证复印件证明当事人具有合法经营的主体资格。                                                 </w:t>
      </w:r>
    </w:p>
    <w:p w14:paraId="750BBE64">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2、我局执法人员分别在2025年9月19日和2025年10月13日制作的《现场检查笔录》各一份及现场检查照片4张，证明2025年9月19日我局执法人员对当事人经营场所进行检查，当事人未按规定凭处方销售处方药的事实及2025年10月13日我局执法人员对当事人经营场所再次现场检查，当事人仍未按规定凭处方销售处方药的事实。                                       </w:t>
      </w:r>
    </w:p>
    <w:p w14:paraId="15DA68B0">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default"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3、2025年9月19日销售的“</w:t>
      </w:r>
      <w:r>
        <w:rPr>
          <w:rFonts w:hint="eastAsia" w:ascii="仿宋_GB2312" w:hAnsi="仿宋_GB2312" w:eastAsia="仿宋_GB2312" w:cs="仿宋_GB2312"/>
          <w:sz w:val="32"/>
          <w:szCs w:val="32"/>
          <w:highlight w:val="none"/>
          <w:u w:val="single"/>
          <w:shd w:val="clear" w:color="auto" w:fill="auto"/>
          <w:lang w:eastAsia="zh-CN"/>
        </w:rPr>
        <w:t>盐酸二甲双胍肠溶片</w:t>
      </w:r>
      <w:r>
        <w:rPr>
          <w:rFonts w:hint="eastAsia" w:ascii="仿宋_GB2312" w:hAnsi="仿宋_GB2312" w:eastAsia="仿宋_GB2312" w:cs="仿宋_GB2312"/>
          <w:kern w:val="0"/>
          <w:sz w:val="32"/>
          <w:szCs w:val="32"/>
          <w:u w:val="single"/>
          <w:shd w:val="clear" w:color="auto" w:fill="auto"/>
          <w:lang w:val="en-US" w:eastAsia="zh-CN" w:bidi="ar"/>
        </w:rPr>
        <w:t>”的销售小票一张，供货商石家庄极正药品药业有限公司                                                                                                                                                                                                                资质营业执照复印件一份、药品经营许可证复印件一份，随货同行单复印件一份；第二类医疗器械经营备案凭证复印件一份，医疗器械经营许可证复印件一份，仅销售预包装食品经营者备案信息采集表复印件一份，中国工商银正定县支行基本存款账户信息,2025年10月13日销售的</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eastAsia="zh-CN"/>
        </w:rPr>
        <w:t>阿莫西林胶囊</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kern w:val="0"/>
          <w:sz w:val="32"/>
          <w:szCs w:val="32"/>
          <w:u w:val="single"/>
          <w:shd w:val="clear" w:color="auto" w:fill="auto"/>
          <w:lang w:val="en-US" w:eastAsia="zh-CN" w:bidi="ar"/>
        </w:rPr>
        <w:t xml:space="preserve">销售小票一张，计算机出入库记录及库存记录截图一张，供货商河北驰凯医药销售有限公司资质营业执照复印件一份、药品经营许可证复印件一份、第二类医疗器械经营备案凭证复印件一份，医疗器械经营许可证复印件一份、仅销售预包装食品经营者备案信息采集表复印件一份、随货同行单复印件一份，中国民生银行股份有限公司石家庄槐北路支行基本存款账户信息、开票信息复印件各一份，证明当事人购进药品的渠道。                                               </w:t>
      </w:r>
    </w:p>
    <w:p w14:paraId="464BFBF1">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80" w:lineRule="exact"/>
        <w:ind w:right="0"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送达回证及我局于2025年9月19日对当事人下达《责令改正通知书》（平市监责改〔2025〕ND005号）一份，证明我局执法人员在发现当事人存在未按规定凭处方销售处方药的行为后责令当事人限期改正。                  </w:t>
      </w:r>
    </w:p>
    <w:p w14:paraId="3D610139">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80" w:lineRule="exact"/>
        <w:ind w:right="0" w:firstLine="640" w:firstLineChars="200"/>
        <w:jc w:val="both"/>
        <w:textAlignment w:val="auto"/>
        <w:rPr>
          <w:rFonts w:hint="default" w:ascii="仿宋" w:hAnsi="仿宋" w:eastAsia="仿宋" w:cs="仿宋"/>
          <w:sz w:val="32"/>
          <w:szCs w:val="32"/>
          <w:u w:val="single"/>
          <w:lang w:val="en-US" w:eastAsia="zh-CN"/>
        </w:rPr>
      </w:pPr>
      <w:r>
        <w:rPr>
          <w:rFonts w:hint="eastAsia" w:ascii="仿宋_GB2312" w:hAnsi="仿宋_GB2312" w:eastAsia="仿宋_GB2312" w:cs="仿宋_GB2312"/>
          <w:sz w:val="32"/>
          <w:szCs w:val="32"/>
          <w:u w:val="single"/>
          <w:lang w:val="en-US" w:eastAsia="zh-CN"/>
        </w:rPr>
        <w:t>我局执法人员制作的询问笔录1份，证明当事人未按规定凭处方销售处方药的事实。</w:t>
      </w:r>
      <w:r>
        <w:rPr>
          <w:rFonts w:hint="eastAsia" w:ascii="仿宋_GB2312" w:hAnsi="仿宋_GB2312" w:eastAsia="仿宋_GB2312" w:cs="仿宋_GB2312"/>
          <w:kern w:val="0"/>
          <w:sz w:val="32"/>
          <w:szCs w:val="32"/>
          <w:u w:val="single"/>
          <w:shd w:val="clear" w:color="auto" w:fill="auto"/>
          <w:lang w:val="en-US" w:eastAsia="zh-CN" w:bidi="ar"/>
        </w:rPr>
        <w:t xml:space="preserve">                                </w:t>
      </w:r>
      <w:r>
        <w:rPr>
          <w:rFonts w:hint="eastAsia" w:ascii="仿宋_GB2312" w:hAnsi="仿宋_GB2312" w:eastAsia="仿宋_GB2312" w:cs="仿宋_GB2312"/>
          <w:sz w:val="32"/>
          <w:szCs w:val="32"/>
          <w:u w:val="none"/>
        </w:rPr>
        <w:t xml:space="preserve">  </w:t>
      </w:r>
    </w:p>
    <w:p w14:paraId="0EF0132E">
      <w:pPr>
        <w:pStyle w:val="2"/>
        <w:keepNext w:val="0"/>
        <w:keepLines w:val="0"/>
        <w:pageBreakBefore w:val="0"/>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auto"/>
          <w:kern w:val="2"/>
          <w:sz w:val="32"/>
          <w:szCs w:val="32"/>
          <w:u w:val="single"/>
          <w:lang w:val="en-US" w:eastAsia="zh-CN" w:bidi="ar-SA"/>
        </w:rPr>
      </w:pPr>
      <w:r>
        <w:rPr>
          <w:rFonts w:hint="eastAsia" w:ascii="仿宋" w:hAnsi="仿宋" w:eastAsia="仿宋" w:cs="仿宋"/>
          <w:color w:val="auto"/>
          <w:kern w:val="2"/>
          <w:sz w:val="32"/>
          <w:szCs w:val="32"/>
          <w:u w:val="single"/>
          <w:lang w:val="en-US" w:eastAsia="zh-CN" w:bidi="ar-SA"/>
        </w:rPr>
        <w:t xml:space="preserve">以上证据和笔录均有当事人签字予以确认。                  </w:t>
      </w:r>
    </w:p>
    <w:p w14:paraId="5597EF75">
      <w:pPr>
        <w:pStyle w:val="2"/>
        <w:keepNext w:val="0"/>
        <w:keepLines w:val="0"/>
        <w:pageBreakBefore w:val="0"/>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000000"/>
          <w:sz w:val="32"/>
          <w:szCs w:val="32"/>
          <w:u w:val="single"/>
        </w:rPr>
      </w:pPr>
      <w:r>
        <w:rPr>
          <w:rFonts w:hint="eastAsia" w:ascii="仿宋" w:hAnsi="仿宋" w:eastAsia="仿宋" w:cs="仿宋"/>
          <w:bCs/>
          <w:color w:val="231F20"/>
          <w:sz w:val="32"/>
          <w:szCs w:val="32"/>
          <w:u w:val="single" w:color="231F20"/>
          <w:lang w:val="en-US" w:eastAsia="zh-CN"/>
        </w:rPr>
        <w:t>2025</w:t>
      </w:r>
      <w:r>
        <w:rPr>
          <w:rFonts w:hint="eastAsia" w:ascii="仿宋" w:hAnsi="仿宋" w:eastAsia="仿宋" w:cs="仿宋"/>
          <w:bCs/>
          <w:color w:val="231F20"/>
          <w:sz w:val="32"/>
          <w:szCs w:val="32"/>
          <w:u w:val="single" w:color="231F20"/>
        </w:rPr>
        <w:t>年</w:t>
      </w:r>
      <w:r>
        <w:rPr>
          <w:rFonts w:hint="eastAsia" w:ascii="仿宋" w:hAnsi="仿宋" w:eastAsia="仿宋" w:cs="仿宋"/>
          <w:bCs/>
          <w:color w:val="231F20"/>
          <w:sz w:val="32"/>
          <w:szCs w:val="32"/>
          <w:u w:val="single" w:color="231F20"/>
          <w:lang w:val="en-US" w:eastAsia="zh-CN"/>
        </w:rPr>
        <w:t>11</w:t>
      </w:r>
      <w:r>
        <w:rPr>
          <w:rFonts w:hint="eastAsia" w:ascii="仿宋" w:hAnsi="仿宋" w:eastAsia="仿宋" w:cs="仿宋"/>
          <w:bCs/>
          <w:color w:val="auto"/>
          <w:sz w:val="32"/>
          <w:szCs w:val="32"/>
          <w:u w:val="single" w:color="231F20"/>
        </w:rPr>
        <w:t>月</w:t>
      </w:r>
      <w:r>
        <w:rPr>
          <w:rFonts w:hint="eastAsia" w:ascii="仿宋" w:hAnsi="仿宋" w:eastAsia="仿宋" w:cs="仿宋"/>
          <w:bCs/>
          <w:color w:val="auto"/>
          <w:sz w:val="32"/>
          <w:szCs w:val="32"/>
          <w:u w:val="single" w:color="231F20"/>
          <w:lang w:val="en-US" w:eastAsia="zh-CN"/>
        </w:rPr>
        <w:t>3</w:t>
      </w:r>
      <w:r>
        <w:rPr>
          <w:rFonts w:hint="eastAsia" w:ascii="仿宋" w:hAnsi="仿宋" w:eastAsia="仿宋" w:cs="仿宋"/>
          <w:bCs/>
          <w:color w:val="auto"/>
          <w:sz w:val="32"/>
          <w:szCs w:val="32"/>
          <w:highlight w:val="none"/>
          <w:u w:val="single" w:color="231F20"/>
        </w:rPr>
        <w:t>日</w:t>
      </w:r>
      <w:r>
        <w:rPr>
          <w:rFonts w:hint="eastAsia" w:ascii="仿宋" w:hAnsi="仿宋" w:eastAsia="仿宋" w:cs="仿宋"/>
          <w:bCs/>
          <w:color w:val="auto"/>
          <w:sz w:val="32"/>
          <w:szCs w:val="32"/>
          <w:u w:val="single" w:color="231F20"/>
        </w:rPr>
        <w:t>，我</w:t>
      </w:r>
      <w:r>
        <w:rPr>
          <w:rFonts w:hint="eastAsia" w:ascii="仿宋" w:hAnsi="仿宋" w:eastAsia="仿宋" w:cs="仿宋"/>
          <w:bCs/>
          <w:color w:val="231F20"/>
          <w:sz w:val="32"/>
          <w:szCs w:val="32"/>
          <w:u w:val="single" w:color="231F20"/>
        </w:rPr>
        <w:t>局向当事人送达了《行政处罚告知书》</w:t>
      </w:r>
      <w:r>
        <w:rPr>
          <w:rFonts w:hint="eastAsia" w:ascii="仿宋" w:hAnsi="仿宋" w:eastAsia="仿宋" w:cs="仿宋"/>
          <w:sz w:val="32"/>
          <w:szCs w:val="32"/>
          <w:u w:val="single"/>
        </w:rPr>
        <w:t>平市监罚告〔202</w:t>
      </w:r>
      <w:r>
        <w:rPr>
          <w:rFonts w:hint="eastAsia" w:ascii="仿宋" w:hAnsi="仿宋" w:eastAsia="仿宋" w:cs="仿宋"/>
          <w:sz w:val="32"/>
          <w:szCs w:val="32"/>
          <w:u w:val="single"/>
          <w:lang w:val="en-US" w:eastAsia="zh-CN"/>
        </w:rPr>
        <w:t>5</w:t>
      </w:r>
      <w:r>
        <w:rPr>
          <w:rFonts w:hint="eastAsia" w:ascii="仿宋" w:hAnsi="仿宋" w:eastAsia="仿宋" w:cs="仿宋"/>
          <w:sz w:val="32"/>
          <w:szCs w:val="32"/>
          <w:u w:val="single"/>
        </w:rPr>
        <w:t>〕</w:t>
      </w:r>
      <w:r>
        <w:rPr>
          <w:rFonts w:hint="eastAsia" w:ascii="仿宋" w:hAnsi="仿宋" w:eastAsia="仿宋" w:cs="仿宋"/>
          <w:sz w:val="32"/>
          <w:szCs w:val="32"/>
          <w:u w:val="single"/>
          <w:lang w:val="en-US" w:eastAsia="zh-CN"/>
        </w:rPr>
        <w:t>ND048</w:t>
      </w:r>
      <w:r>
        <w:rPr>
          <w:rFonts w:hint="eastAsia" w:ascii="仿宋" w:hAnsi="仿宋" w:eastAsia="仿宋" w:cs="仿宋"/>
          <w:sz w:val="32"/>
          <w:szCs w:val="32"/>
          <w:u w:val="single"/>
        </w:rPr>
        <w:t xml:space="preserve">号，依法告知当事人本局拟将作出行政处罚的事实、理由、依据、处罚内容及当事人享有的陈述、申诉的权利，要求听证的权利，当事人未在规定时间内提出陈述、申诉及听证。                                                      </w:t>
      </w:r>
    </w:p>
    <w:p w14:paraId="07AB9820">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 w:hAnsi="仿宋" w:eastAsia="仿宋" w:cs="仿宋"/>
          <w:kern w:val="1"/>
          <w:sz w:val="32"/>
          <w:szCs w:val="32"/>
          <w:u w:val="single"/>
        </w:rPr>
        <w:t>本</w:t>
      </w:r>
      <w:r>
        <w:rPr>
          <w:rFonts w:hint="eastAsia" w:ascii="仿宋_GB2312" w:hAnsi="仿宋_GB2312" w:eastAsia="仿宋_GB2312" w:cs="仿宋_GB2312"/>
          <w:kern w:val="0"/>
          <w:sz w:val="32"/>
          <w:szCs w:val="32"/>
          <w:u w:val="single"/>
          <w:shd w:val="clear" w:color="auto" w:fill="auto"/>
          <w:lang w:val="en-US" w:eastAsia="zh-CN" w:bidi="ar"/>
        </w:rPr>
        <w:t xml:space="preserve">局认为，当事人的行为违反了《药品经营和使用质量监督管理办法》（2024年1月1日起施行）第四十二条第一款：“药品零售企业应当遵守国家处方药与非处方药分类管理制度，按规定凭处方销售处方药，处方保留不少于五年。”之规定，属于药品零售企业未按规定凭处方销售处方药的违法行为，依法应予以处罚。                              </w:t>
      </w:r>
    </w:p>
    <w:p w14:paraId="491ADBEC">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当事人未按规定凭处方销售处方药的行为，参照《药品监督管理行政处罚裁量适用规则》第十一条：“当事人有下列情形之一的，可以从轻或者减轻行政处罚：（二）积极配合药品监督管理部门调查并主动提供证据材料的；”建议适用从轻处罚。                                       </w:t>
      </w:r>
    </w:p>
    <w:p w14:paraId="2E894818">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Times New Roman" w:hAnsi="Times New Roman" w:eastAsia="仿宋_GB2312" w:cs="仿宋_GB2312"/>
          <w:bCs/>
          <w:sz w:val="32"/>
          <w:szCs w:val="32"/>
          <w:u w:val="single"/>
          <w:lang w:eastAsia="zh-CN"/>
        </w:rPr>
        <w:t>参照《药品监督管理行政处罚裁量适用规则》（2025年4月）编码：HEBMPA-C-1-037，违法行为：“药品零售企业有以下情形之一的：（一）未按规定凭处方销售处方药的”，违法依据：“《药品经营和使用质量监督管理办法》第四十二条药品零售企业应当遵守国家处方药与非处方药分类管理制度，按规定凭处方销售处方药，处方保留不少于五年”。适用情形：“从轻处罚情节”；裁量基准：“（一）处5000元以上1.85万元以下罚款”之规定，给予处罚。”</w:t>
      </w:r>
      <w:r>
        <w:rPr>
          <w:rFonts w:hint="eastAsia" w:ascii="仿宋_GB2312" w:hAnsi="仿宋_GB2312" w:eastAsia="仿宋_GB2312" w:cs="仿宋_GB2312"/>
          <w:bCs/>
          <w:sz w:val="32"/>
          <w:szCs w:val="32"/>
          <w:u w:val="single"/>
        </w:rPr>
        <w:t xml:space="preserve"> </w:t>
      </w:r>
      <w:r>
        <w:rPr>
          <w:rFonts w:hint="eastAsia" w:ascii="Times New Roman" w:hAnsi="Times New Roman" w:eastAsia="仿宋_GB2312" w:cs="仿宋_GB2312"/>
          <w:bCs/>
          <w:sz w:val="32"/>
          <w:szCs w:val="32"/>
          <w:u w:val="single"/>
          <w:lang w:val="en-US" w:eastAsia="zh-CN"/>
        </w:rPr>
        <w:t xml:space="preserve">                                           </w:t>
      </w:r>
    </w:p>
    <w:p w14:paraId="1E0CD4C5">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综上，当事人未按规定凭处方销售处方药的行为，违反了《药品经营和使用质量监督管理办法》第四十二条第一款之规定，依据《药品经营和使用质量监督管理办法》第七十二条第（一）项“药品零售企业有以下情形之一的，由药品监督管理部门责令限期改正；逾期不改正的，处五千元以上五万元以下罚款；造成危害后果的，处五万元以上二十万元以下罚款：（一）未按规定凭处方销售处方药的；”之规定，结合行政裁量权基准，责令当事人改正违法行为，决定对当事人作出行政处罚如下：</w:t>
      </w:r>
      <w:r>
        <w:rPr>
          <w:rFonts w:hint="eastAsia" w:ascii="仿宋_GB2312" w:hAnsi="仿宋_GB2312" w:eastAsia="仿宋_GB2312" w:cs="仿宋_GB2312"/>
          <w:kern w:val="0"/>
          <w:sz w:val="32"/>
          <w:szCs w:val="32"/>
          <w:highlight w:val="none"/>
          <w:u w:val="single"/>
          <w:shd w:val="clear" w:color="auto" w:fill="auto"/>
          <w:lang w:val="en-US" w:eastAsia="zh-CN" w:bidi="ar"/>
        </w:rPr>
        <w:t>罚款伍仟零壹拾元（5010）元</w:t>
      </w:r>
      <w:r>
        <w:rPr>
          <w:rFonts w:hint="eastAsia" w:ascii="仿宋_GB2312" w:hAnsi="仿宋_GB2312" w:eastAsia="仿宋_GB2312" w:cs="仿宋_GB2312"/>
          <w:kern w:val="0"/>
          <w:sz w:val="32"/>
          <w:szCs w:val="32"/>
          <w:u w:val="single"/>
          <w:shd w:val="clear" w:color="auto" w:fill="auto"/>
          <w:lang w:val="en-US" w:eastAsia="zh-CN" w:bidi="ar"/>
        </w:rPr>
        <w:t xml:space="preserve">。   </w:t>
      </w:r>
    </w:p>
    <w:p w14:paraId="3D4620A4">
      <w:pPr>
        <w:rPr>
          <w:rFonts w:hint="eastAsia" w:eastAsia="仿宋"/>
          <w:lang w:eastAsia="zh-CN"/>
        </w:rPr>
      </w:pPr>
      <w:r>
        <w:rPr>
          <w:rFonts w:hint="eastAsia" w:ascii="Times New Roman" w:hAnsi="Times New Roman" w:eastAsia="仿宋_GB2312" w:cs="仿宋"/>
          <w:color w:val="auto"/>
          <w:sz w:val="32"/>
          <w:szCs w:val="32"/>
          <w:u w:val="single" w:color="auto"/>
        </w:rPr>
        <w:t>当事人应当自收到本处罚决定书之日起十五日内，将罚没款缴至</w:t>
      </w:r>
      <w:r>
        <w:rPr>
          <w:rFonts w:hint="eastAsia" w:ascii="Times New Roman" w:hAnsi="Times New Roman" w:eastAsia="仿宋_GB2312" w:cs="仿宋"/>
          <w:color w:val="auto"/>
          <w:sz w:val="32"/>
          <w:szCs w:val="32"/>
          <w:u w:val="single" w:color="auto"/>
          <w:lang w:val="en-US" w:eastAsia="zh-CN"/>
        </w:rPr>
        <w:t>中国邮政储蓄银行平山支行</w:t>
      </w:r>
      <w:r>
        <w:rPr>
          <w:rFonts w:hint="eastAsia" w:ascii="Times New Roman" w:hAnsi="Times New Roman" w:eastAsia="仿宋_GB2312" w:cs="仿宋"/>
          <w:color w:val="auto"/>
          <w:sz w:val="32"/>
          <w:szCs w:val="32"/>
          <w:u w:val="single" w:color="auto"/>
        </w:rPr>
        <w:t>（账户：平山县非税收入服务中心，账号：</w:t>
      </w:r>
      <w:r>
        <w:rPr>
          <w:rFonts w:hint="eastAsia" w:ascii="Times New Roman" w:hAnsi="Times New Roman" w:eastAsia="仿宋_GB2312" w:cs="仿宋"/>
          <w:color w:val="auto"/>
          <w:sz w:val="32"/>
          <w:szCs w:val="32"/>
          <w:u w:val="single" w:color="auto"/>
          <w:lang w:val="en-US" w:eastAsia="zh-CN"/>
        </w:rPr>
        <w:t>100465638440010001</w:t>
      </w:r>
      <w:r>
        <w:rPr>
          <w:rFonts w:hint="eastAsia" w:ascii="Times New Roman" w:hAnsi="Times New Roman" w:eastAsia="仿宋_GB2312" w:cs="仿宋"/>
          <w:color w:val="auto"/>
          <w:sz w:val="32"/>
          <w:szCs w:val="32"/>
          <w:u w:val="single" w:color="auto"/>
        </w:rPr>
        <w:t>）。到期不缴纳罚款的，依据《中华人民共和国行政处罚法》第</w:t>
      </w:r>
      <w:r>
        <w:rPr>
          <w:rFonts w:hint="eastAsia" w:ascii="Times New Roman" w:hAnsi="Times New Roman" w:eastAsia="仿宋_GB2312" w:cs="仿宋"/>
          <w:color w:val="auto"/>
          <w:sz w:val="32"/>
          <w:szCs w:val="32"/>
          <w:u w:val="single" w:color="auto"/>
          <w:lang w:eastAsia="zh-CN"/>
        </w:rPr>
        <w:t>七十二条</w:t>
      </w:r>
      <w:r>
        <w:rPr>
          <w:rFonts w:hint="eastAsia" w:ascii="Times New Roman" w:hAnsi="Times New Roman" w:eastAsia="仿宋_GB2312" w:cs="仿宋"/>
          <w:color w:val="auto"/>
          <w:sz w:val="32"/>
          <w:szCs w:val="32"/>
          <w:u w:val="single" w:color="auto"/>
        </w:rPr>
        <w:t>的规定，本局将每日按罚款数额的百分之三加处罚款，并依法申</w:t>
      </w:r>
      <w:r>
        <w:rPr>
          <w:rFonts w:hint="eastAsia" w:eastAsia="仿宋"/>
          <w:lang w:eastAsia="zh-CN"/>
        </w:rPr>
        <w:drawing>
          <wp:inline distT="0" distB="0" distL="114300" distR="114300">
            <wp:extent cx="4979035" cy="8851265"/>
            <wp:effectExtent l="0" t="0" r="4445" b="3175"/>
            <wp:docPr id="1" name="图片 1" descr="0d1695878a25f5715f7e37f2196ef8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d1695878a25f5715f7e37f2196ef8c0"/>
                    <pic:cNvPicPr>
                      <a:picLocks noChangeAspect="1"/>
                    </pic:cNvPicPr>
                  </pic:nvPicPr>
                  <pic:blipFill>
                    <a:blip r:embed="rId4"/>
                    <a:stretch>
                      <a:fillRect/>
                    </a:stretch>
                  </pic:blipFill>
                  <pic:spPr>
                    <a:xfrm>
                      <a:off x="0" y="0"/>
                      <a:ext cx="4979035" cy="885126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 w:name="方正小标宋简体">
    <w:altName w:val="黑体"/>
    <w:panose1 w:val="03000509000000000000"/>
    <w:charset w:val="86"/>
    <w:family w:val="auto"/>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_GB2312">
    <w:altName w:val="仿宋"/>
    <w:panose1 w:val="02010609030101010101"/>
    <w:charset w:val="86"/>
    <w:family w:val="swiss"/>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4A7C84"/>
    <w:multiLevelType w:val="singleLevel"/>
    <w:tmpl w:val="6B4A7C84"/>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B51FD2"/>
    <w:rsid w:val="0C260D1D"/>
    <w:rsid w:val="193A6FE3"/>
    <w:rsid w:val="440525B4"/>
    <w:rsid w:val="4DA96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cs="仿宋" w:asciiTheme="minorHAnsi" w:hAnsiTheme="minorHAnsi"/>
      <w:kern w:val="2"/>
      <w:sz w:val="32"/>
      <w:szCs w:val="32"/>
      <w:u w:val="single"/>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Times New Roman" w:eastAsia="Arial Unicode MS"/>
      <w:kern w:val="0"/>
      <w:sz w:val="32"/>
      <w:szCs w:val="32"/>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2552</Words>
  <Characters>2825</Characters>
  <Lines>0</Lines>
  <Paragraphs>0</Paragraphs>
  <TotalTime>2</TotalTime>
  <ScaleCrop>false</ScaleCrop>
  <LinksUpToDate>false</LinksUpToDate>
  <CharactersWithSpaces>3696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2023-07-24T04:02:00Z</dcterms:created>
  <dc:creator>Administrator</dc:creator>
  <cp:lastModifiedBy>夜</cp:lastModifiedBy>
  <dcterms:modified xsi:type="dcterms:W3CDTF">2025-11-24T07:38:52Z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A8D18E5F890C4EFC86A0CCBD7BB871BE_12</vt:lpwstr>
  </property>
  <property fmtid="{D5CDD505-2E9C-101B-9397-08002B2CF9AE}" pid="4" name="KSOTemplateDocerSaveRecord">
    <vt:lpwstr>eyJoZGlkIjoiMWJhYWRkMTNlMzNjNjQ0NWUyNzQzM2YwMTcyZDZkYzQiLCJ1c2VySWQiOiI1NDA2ODU3NTIifQ==</vt:lpwstr>
  </property>
</Properties>
</file>