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432D29">
      <w:pPr>
        <w:tabs>
          <w:tab w:val="left" w:pos="3816"/>
        </w:tabs>
        <w:spacing w:before="55" w:line="208" w:lineRule="auto"/>
        <w:jc w:val="center"/>
        <w:outlineLvl w:val="0"/>
        <w:rPr>
          <w:rFonts w:hint="default" w:ascii="微软雅黑" w:hAnsi="微软雅黑" w:eastAsia="微软雅黑" w:cs="微软雅黑"/>
          <w:sz w:val="43"/>
          <w:szCs w:val="43"/>
          <w:lang w:val="en-US"/>
        </w:rPr>
      </w:pPr>
      <w:r>
        <w:rPr>
          <w:rFonts w:hint="eastAsia" w:ascii="微软雅黑" w:hAnsi="微软雅黑" w:eastAsia="微软雅黑" w:cs="微软雅黑"/>
          <w:spacing w:val="-2"/>
          <w:sz w:val="43"/>
          <w:szCs w:val="43"/>
          <w:lang w:val="en-US" w:eastAsia="zh-CN"/>
        </w:rPr>
        <w:t>平山县温塘镇</w:t>
      </w:r>
      <w:bookmarkStart w:id="0" w:name="_GoBack"/>
      <w:bookmarkEnd w:id="0"/>
      <w:r>
        <w:rPr>
          <w:rFonts w:ascii="微软雅黑" w:hAnsi="微软雅黑" w:eastAsia="微软雅黑" w:cs="微软雅黑"/>
          <w:spacing w:val="-2"/>
          <w:sz w:val="43"/>
          <w:szCs w:val="43"/>
        </w:rPr>
        <w:t>202</w:t>
      </w:r>
      <w:r>
        <w:rPr>
          <w:rFonts w:hint="eastAsia" w:ascii="微软雅黑" w:hAnsi="微软雅黑" w:eastAsia="微软雅黑" w:cs="微软雅黑"/>
          <w:spacing w:val="-2"/>
          <w:sz w:val="43"/>
          <w:szCs w:val="43"/>
          <w:lang w:val="en-US" w:eastAsia="zh-CN"/>
        </w:rPr>
        <w:t>5</w:t>
      </w:r>
      <w:r>
        <w:rPr>
          <w:rFonts w:ascii="微软雅黑" w:hAnsi="微软雅黑" w:eastAsia="微软雅黑" w:cs="微软雅黑"/>
          <w:spacing w:val="-2"/>
          <w:sz w:val="43"/>
          <w:szCs w:val="43"/>
        </w:rPr>
        <w:t>年度</w:t>
      </w:r>
      <w:r>
        <w:rPr>
          <w:rFonts w:hint="eastAsia" w:ascii="微软雅黑" w:hAnsi="微软雅黑" w:eastAsia="微软雅黑" w:cs="微软雅黑"/>
          <w:spacing w:val="-2"/>
          <w:sz w:val="43"/>
          <w:szCs w:val="43"/>
          <w:lang w:val="en-US" w:eastAsia="zh-CN"/>
        </w:rPr>
        <w:t>涉企行政检查频次</w:t>
      </w:r>
    </w:p>
    <w:p w14:paraId="5D8A3BEA">
      <w:pPr>
        <w:spacing w:line="110" w:lineRule="exact"/>
      </w:pPr>
    </w:p>
    <w:tbl>
      <w:tblPr>
        <w:tblStyle w:val="9"/>
        <w:tblW w:w="10320" w:type="dxa"/>
        <w:tblInd w:w="-73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0"/>
        <w:gridCol w:w="2090"/>
        <w:gridCol w:w="2540"/>
        <w:gridCol w:w="1660"/>
        <w:gridCol w:w="1080"/>
        <w:gridCol w:w="1230"/>
        <w:gridCol w:w="920"/>
      </w:tblGrid>
      <w:tr w14:paraId="41D1DF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8" w:hRule="atLeast"/>
        </w:trPr>
        <w:tc>
          <w:tcPr>
            <w:tcW w:w="800" w:type="dxa"/>
            <w:vAlign w:val="center"/>
          </w:tcPr>
          <w:p w14:paraId="051A4C0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sz w:val="24"/>
                <w:szCs w:val="24"/>
              </w:rPr>
            </w:pPr>
            <w:r>
              <w:rPr>
                <w:rFonts w:hint="eastAsia" w:ascii="黑体" w:hAnsi="黑体" w:eastAsia="黑体" w:cs="黑体"/>
                <w:i w:val="0"/>
                <w:iCs w:val="0"/>
                <w:caps w:val="0"/>
                <w:color w:val="000000"/>
                <w:spacing w:val="0"/>
                <w:sz w:val="24"/>
                <w:szCs w:val="24"/>
              </w:rPr>
              <w:t>序号</w:t>
            </w:r>
          </w:p>
        </w:tc>
        <w:tc>
          <w:tcPr>
            <w:tcW w:w="2090" w:type="dxa"/>
            <w:vAlign w:val="center"/>
          </w:tcPr>
          <w:p w14:paraId="4DA9B9E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sz w:val="24"/>
                <w:szCs w:val="24"/>
              </w:rPr>
            </w:pPr>
            <w:r>
              <w:rPr>
                <w:rFonts w:hint="eastAsia" w:ascii="黑体" w:hAnsi="黑体" w:eastAsia="黑体" w:cs="黑体"/>
                <w:i w:val="0"/>
                <w:iCs w:val="0"/>
                <w:caps w:val="0"/>
                <w:color w:val="000000"/>
                <w:spacing w:val="0"/>
                <w:sz w:val="24"/>
                <w:szCs w:val="24"/>
              </w:rPr>
              <w:t>事项名称</w:t>
            </w:r>
          </w:p>
        </w:tc>
        <w:tc>
          <w:tcPr>
            <w:tcW w:w="2540" w:type="dxa"/>
            <w:vAlign w:val="center"/>
          </w:tcPr>
          <w:p w14:paraId="6F3E298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rPr>
              <w:t>实施依据</w:t>
            </w:r>
          </w:p>
        </w:tc>
        <w:tc>
          <w:tcPr>
            <w:tcW w:w="1660" w:type="dxa"/>
            <w:vAlign w:val="center"/>
          </w:tcPr>
          <w:p w14:paraId="337C278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rPr>
              <w:t>法定实施主体</w:t>
            </w:r>
          </w:p>
        </w:tc>
        <w:tc>
          <w:tcPr>
            <w:tcW w:w="1080" w:type="dxa"/>
            <w:vAlign w:val="center"/>
          </w:tcPr>
          <w:p w14:paraId="3AC236D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rPr>
              <w:t>频次上限</w:t>
            </w:r>
          </w:p>
        </w:tc>
        <w:tc>
          <w:tcPr>
            <w:tcW w:w="1230" w:type="dxa"/>
            <w:vAlign w:val="center"/>
          </w:tcPr>
          <w:p w14:paraId="2DEEF14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lang w:val="en-US" w:eastAsia="zh-CN"/>
              </w:rPr>
              <w:t>检查</w:t>
            </w:r>
            <w:r>
              <w:rPr>
                <w:rFonts w:hint="eastAsia" w:ascii="黑体" w:hAnsi="黑体" w:eastAsia="黑体" w:cs="黑体"/>
                <w:i w:val="0"/>
                <w:iCs w:val="0"/>
                <w:caps w:val="0"/>
                <w:color w:val="000000"/>
                <w:spacing w:val="0"/>
                <w:sz w:val="24"/>
                <w:szCs w:val="24"/>
              </w:rPr>
              <w:t>对象 范围</w:t>
            </w:r>
          </w:p>
        </w:tc>
        <w:tc>
          <w:tcPr>
            <w:tcW w:w="920" w:type="dxa"/>
            <w:vAlign w:val="center"/>
          </w:tcPr>
          <w:p w14:paraId="152DE74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lang w:val="en-US" w:eastAsia="zh-CN"/>
              </w:rPr>
              <w:t>检查</w:t>
            </w:r>
            <w:r>
              <w:rPr>
                <w:rFonts w:hint="eastAsia" w:ascii="黑体" w:hAnsi="黑体" w:eastAsia="黑体" w:cs="黑体"/>
                <w:i w:val="0"/>
                <w:iCs w:val="0"/>
                <w:caps w:val="0"/>
                <w:color w:val="000000"/>
                <w:spacing w:val="0"/>
                <w:sz w:val="24"/>
                <w:szCs w:val="24"/>
              </w:rPr>
              <w:t>时间</w:t>
            </w:r>
          </w:p>
        </w:tc>
      </w:tr>
      <w:tr w14:paraId="43884C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15" w:hRule="atLeast"/>
        </w:trPr>
        <w:tc>
          <w:tcPr>
            <w:tcW w:w="800" w:type="dxa"/>
            <w:vAlign w:val="center"/>
          </w:tcPr>
          <w:p w14:paraId="577FE0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i w:val="0"/>
                <w:iCs w:val="0"/>
                <w:caps w:val="0"/>
                <w:color w:val="000000"/>
                <w:spacing w:val="0"/>
                <w:sz w:val="21"/>
                <w:szCs w:val="21"/>
                <w:lang w:val="en-US" w:eastAsia="zh-CN"/>
              </w:rPr>
              <w:t>1</w:t>
            </w:r>
          </w:p>
        </w:tc>
        <w:tc>
          <w:tcPr>
            <w:tcW w:w="2090" w:type="dxa"/>
            <w:vAlign w:val="center"/>
          </w:tcPr>
          <w:p w14:paraId="4FCF9A6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i w:val="0"/>
                <w:iCs w:val="0"/>
                <w:caps w:val="0"/>
                <w:color w:val="000000"/>
                <w:spacing w:val="0"/>
                <w:sz w:val="21"/>
                <w:szCs w:val="21"/>
              </w:rPr>
              <w:t>对未按照要求生产、经营清真食品的行政处罚</w:t>
            </w:r>
          </w:p>
        </w:tc>
        <w:tc>
          <w:tcPr>
            <w:tcW w:w="2540" w:type="dxa"/>
            <w:vAlign w:val="center"/>
          </w:tcPr>
          <w:p w14:paraId="62CF461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i w:val="0"/>
                <w:iCs w:val="0"/>
                <w:caps w:val="0"/>
                <w:color w:val="000000"/>
                <w:spacing w:val="0"/>
                <w:sz w:val="21"/>
                <w:szCs w:val="21"/>
              </w:rPr>
              <w:t>《河北省清真食品管理条例》（1999年11月29日河北省第九届人民代表大会常务委员会第十二次会议通过）第十七条第（一）（二）（三）（四）（六）（七）（八）项</w:t>
            </w:r>
          </w:p>
        </w:tc>
        <w:tc>
          <w:tcPr>
            <w:tcW w:w="1660" w:type="dxa"/>
            <w:vAlign w:val="center"/>
          </w:tcPr>
          <w:p w14:paraId="65294CC8">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温塘镇人民政府</w:t>
            </w:r>
          </w:p>
        </w:tc>
        <w:tc>
          <w:tcPr>
            <w:tcW w:w="1080" w:type="dxa"/>
            <w:vAlign w:val="center"/>
          </w:tcPr>
          <w:p w14:paraId="0DE0DBFA">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w:t>
            </w:r>
          </w:p>
        </w:tc>
        <w:tc>
          <w:tcPr>
            <w:tcW w:w="1230" w:type="dxa"/>
            <w:vAlign w:val="center"/>
          </w:tcPr>
          <w:p w14:paraId="3B6430FE">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清真食品行业</w:t>
            </w:r>
          </w:p>
        </w:tc>
        <w:tc>
          <w:tcPr>
            <w:tcW w:w="920" w:type="dxa"/>
            <w:vAlign w:val="center"/>
          </w:tcPr>
          <w:p w14:paraId="11F7A85F">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eastAsia="zh-CN"/>
              </w:rPr>
              <w:t>202</w:t>
            </w: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年</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月至</w:t>
            </w: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月</w:t>
            </w:r>
          </w:p>
        </w:tc>
      </w:tr>
      <w:tr w14:paraId="2F1250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0" w:hRule="atLeast"/>
        </w:trPr>
        <w:tc>
          <w:tcPr>
            <w:tcW w:w="800" w:type="dxa"/>
            <w:vAlign w:val="center"/>
          </w:tcPr>
          <w:p w14:paraId="6C3CEE9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i w:val="0"/>
                <w:iCs w:val="0"/>
                <w:caps w:val="0"/>
                <w:color w:val="000000"/>
                <w:spacing w:val="0"/>
                <w:sz w:val="21"/>
                <w:szCs w:val="21"/>
                <w:lang w:eastAsia="zh-CN"/>
              </w:rPr>
            </w:pPr>
            <w:r>
              <w:rPr>
                <w:rFonts w:hint="eastAsia" w:ascii="仿宋" w:hAnsi="仿宋" w:eastAsia="仿宋" w:cs="仿宋"/>
                <w:i w:val="0"/>
                <w:iCs w:val="0"/>
                <w:caps w:val="0"/>
                <w:color w:val="000000"/>
                <w:spacing w:val="0"/>
                <w:sz w:val="21"/>
                <w:szCs w:val="21"/>
                <w:lang w:val="en-US" w:eastAsia="zh-CN"/>
              </w:rPr>
              <w:t>2</w:t>
            </w:r>
          </w:p>
        </w:tc>
        <w:tc>
          <w:tcPr>
            <w:tcW w:w="2090" w:type="dxa"/>
            <w:vAlign w:val="center"/>
          </w:tcPr>
          <w:p w14:paraId="0187113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i w:val="0"/>
                <w:iCs w:val="0"/>
                <w:caps w:val="0"/>
                <w:color w:val="000000"/>
                <w:spacing w:val="0"/>
                <w:sz w:val="21"/>
                <w:szCs w:val="21"/>
              </w:rPr>
            </w:pPr>
            <w:r>
              <w:rPr>
                <w:rFonts w:hint="eastAsia" w:ascii="仿宋" w:hAnsi="仿宋" w:eastAsia="仿宋" w:cs="仿宋"/>
                <w:i w:val="0"/>
                <w:iCs w:val="0"/>
                <w:caps w:val="0"/>
                <w:color w:val="000000"/>
                <w:spacing w:val="0"/>
                <w:sz w:val="21"/>
                <w:szCs w:val="21"/>
              </w:rPr>
              <w:t>对农业经营主体因未妥善采取综合利用措施，对农产品采收后的秸秆及树叶、荒草予以处理，致使露天焚烧的行政处罚</w:t>
            </w:r>
          </w:p>
        </w:tc>
        <w:tc>
          <w:tcPr>
            <w:tcW w:w="2540" w:type="dxa"/>
            <w:vAlign w:val="center"/>
          </w:tcPr>
          <w:p w14:paraId="02A0943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right="0" w:firstLine="0"/>
              <w:jc w:val="center"/>
              <w:rPr>
                <w:rFonts w:hint="eastAsia" w:ascii="仿宋" w:hAnsi="仿宋" w:eastAsia="仿宋" w:cs="仿宋"/>
                <w:i w:val="0"/>
                <w:iCs w:val="0"/>
                <w:caps w:val="0"/>
                <w:color w:val="000000"/>
                <w:spacing w:val="0"/>
                <w:sz w:val="21"/>
                <w:szCs w:val="21"/>
              </w:rPr>
            </w:pPr>
            <w:r>
              <w:rPr>
                <w:rFonts w:hint="eastAsia" w:ascii="仿宋" w:hAnsi="仿宋" w:eastAsia="仿宋" w:cs="仿宋"/>
                <w:i w:val="0"/>
                <w:iCs w:val="0"/>
                <w:caps w:val="0"/>
                <w:color w:val="000000"/>
                <w:spacing w:val="0"/>
                <w:sz w:val="21"/>
                <w:szCs w:val="21"/>
              </w:rPr>
              <w:t>《中华人民共和国大气污染防治法》（2018年10月26日修正） 第一百一十九条第一款</w:t>
            </w:r>
            <w:r>
              <w:rPr>
                <w:rFonts w:hint="eastAsia" w:ascii="仿宋" w:hAnsi="仿宋" w:eastAsia="仿宋" w:cs="仿宋"/>
                <w:i w:val="0"/>
                <w:iCs w:val="0"/>
                <w:caps w:val="0"/>
                <w:color w:val="000000"/>
                <w:spacing w:val="0"/>
                <w:sz w:val="21"/>
                <w:szCs w:val="21"/>
                <w:lang w:eastAsia="zh-CN"/>
              </w:rPr>
              <w:t>；</w:t>
            </w:r>
            <w:r>
              <w:rPr>
                <w:rFonts w:hint="eastAsia" w:ascii="仿宋" w:hAnsi="仿宋" w:eastAsia="仿宋" w:cs="仿宋"/>
                <w:i w:val="0"/>
                <w:iCs w:val="0"/>
                <w:caps w:val="0"/>
                <w:color w:val="000000"/>
                <w:spacing w:val="0"/>
                <w:sz w:val="21"/>
                <w:szCs w:val="21"/>
              </w:rPr>
              <w:t>《河北省大气污染防治条例》（2021年9月29日修正）第八十七条</w:t>
            </w:r>
            <w:r>
              <w:rPr>
                <w:rFonts w:hint="eastAsia" w:ascii="仿宋" w:hAnsi="仿宋" w:eastAsia="仿宋" w:cs="仿宋"/>
                <w:i w:val="0"/>
                <w:iCs w:val="0"/>
                <w:caps w:val="0"/>
                <w:color w:val="000000"/>
                <w:spacing w:val="0"/>
                <w:sz w:val="21"/>
                <w:szCs w:val="21"/>
                <w:lang w:eastAsia="zh-CN"/>
              </w:rPr>
              <w:t>；</w:t>
            </w:r>
            <w:r>
              <w:rPr>
                <w:rFonts w:hint="eastAsia" w:ascii="仿宋" w:hAnsi="仿宋" w:eastAsia="仿宋" w:cs="仿宋"/>
                <w:i w:val="0"/>
                <w:iCs w:val="0"/>
                <w:caps w:val="0"/>
                <w:color w:val="000000"/>
                <w:spacing w:val="0"/>
                <w:sz w:val="21"/>
                <w:szCs w:val="21"/>
              </w:rPr>
              <w:t>《河北省人民代表大会常务委员会关于促进农作物秸秆综合利用和禁止露天焚烧的决定》（2018年7月27日修订）第二十四条</w:t>
            </w:r>
          </w:p>
        </w:tc>
        <w:tc>
          <w:tcPr>
            <w:tcW w:w="1660" w:type="dxa"/>
            <w:vAlign w:val="center"/>
          </w:tcPr>
          <w:p w14:paraId="33CD5FE0">
            <w:pPr>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温塘镇人民政府</w:t>
            </w:r>
          </w:p>
        </w:tc>
        <w:tc>
          <w:tcPr>
            <w:tcW w:w="1080" w:type="dxa"/>
            <w:vAlign w:val="center"/>
          </w:tcPr>
          <w:p w14:paraId="7E8DE4E1">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w:t>
            </w:r>
          </w:p>
        </w:tc>
        <w:tc>
          <w:tcPr>
            <w:tcW w:w="1230" w:type="dxa"/>
            <w:vAlign w:val="center"/>
          </w:tcPr>
          <w:p w14:paraId="4CF0D6A3">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农业经营行业</w:t>
            </w:r>
          </w:p>
        </w:tc>
        <w:tc>
          <w:tcPr>
            <w:tcW w:w="920" w:type="dxa"/>
            <w:vAlign w:val="center"/>
          </w:tcPr>
          <w:p w14:paraId="28F1158B">
            <w:pPr>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eastAsia="zh-CN"/>
              </w:rPr>
              <w:t>202</w:t>
            </w: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年</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月至</w:t>
            </w: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月</w:t>
            </w:r>
          </w:p>
        </w:tc>
      </w:tr>
    </w:tbl>
    <w:p w14:paraId="34598CCA">
      <w:pPr>
        <w:rPr>
          <w:rFonts w:hint="eastAsia" w:ascii="仿宋_GB2312" w:eastAsia="仿宋_GB2312"/>
          <w:snapToGrid w:val="0"/>
          <w:color w:val="000000"/>
          <w:spacing w:val="-4"/>
          <w:sz w:val="32"/>
          <w:szCs w:val="32"/>
          <w:lang w:val="en-US" w:eastAsia="zh-CN"/>
        </w:rPr>
      </w:pPr>
    </w:p>
    <w:p w14:paraId="23ECC8AF"/>
    <w:sectPr>
      <w:footerReference r:id="rId5" w:type="first"/>
      <w:headerReference r:id="rId3" w:type="default"/>
      <w:footerReference r:id="rId4" w:type="default"/>
      <w:pgSz w:w="11906" w:h="16838"/>
      <w:pgMar w:top="1440" w:right="1474" w:bottom="1440" w:left="1588" w:header="851" w:footer="992" w:gutter="0"/>
      <w:pgNumType w:fmt="numberInDash"/>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B44C7">
    <w:pPr>
      <w:pStyle w:val="2"/>
      <w:framePr w:wrap="around" w:vAnchor="text" w:hAnchor="margin" w:xAlign="outside" w:y="1"/>
      <w:rPr>
        <w:rStyle w:val="7"/>
        <w:rFonts w:ascii="宋体" w:hAnsi="宋体"/>
        <w:sz w:val="28"/>
        <w:szCs w:val="28"/>
      </w:rPr>
    </w:pPr>
    <w:r>
      <w:rPr>
        <w:rFonts w:ascii="宋体" w:hAnsi="宋体"/>
        <w:sz w:val="28"/>
        <w:szCs w:val="28"/>
      </w:rPr>
      <w:fldChar w:fldCharType="begin"/>
    </w:r>
    <w:r>
      <w:rPr>
        <w:rStyle w:val="7"/>
        <w:rFonts w:ascii="宋体" w:hAnsi="宋体"/>
        <w:sz w:val="28"/>
        <w:szCs w:val="28"/>
      </w:rPr>
      <w:instrText xml:space="preserve">PAGE  </w:instrText>
    </w:r>
    <w:r>
      <w:rPr>
        <w:rFonts w:ascii="宋体" w:hAnsi="宋体"/>
        <w:sz w:val="28"/>
        <w:szCs w:val="28"/>
      </w:rPr>
      <w:fldChar w:fldCharType="separate"/>
    </w:r>
    <w:r>
      <w:rPr>
        <w:rStyle w:val="7"/>
        <w:rFonts w:ascii="宋体" w:hAnsi="宋体"/>
        <w:sz w:val="28"/>
        <w:szCs w:val="28"/>
      </w:rPr>
      <w:t>- 7 -</w:t>
    </w:r>
    <w:r>
      <w:rPr>
        <w:rFonts w:ascii="宋体" w:hAnsi="宋体"/>
        <w:sz w:val="28"/>
        <w:szCs w:val="28"/>
      </w:rPr>
      <w:fldChar w:fldCharType="end"/>
    </w:r>
  </w:p>
  <w:p w14:paraId="70FD797D">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2FB23">
    <w:pPr>
      <w:pStyle w:val="2"/>
      <w:rPr>
        <w:rFonts w:hint="eastAsia"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6 -</w:t>
    </w:r>
    <w:r>
      <w:rPr>
        <w:rFonts w:ascii="宋体" w:hAnsi="宋体"/>
        <w:sz w:val="28"/>
        <w:szCs w:val="2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97E21">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E66EB0"/>
    <w:rsid w:val="04E66EB0"/>
    <w:rsid w:val="0EB505FD"/>
    <w:rsid w:val="171239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page number"/>
    <w:basedOn w:val="6"/>
    <w:qFormat/>
    <w:uiPriority w:val="0"/>
  </w:style>
  <w:style w:type="paragraph" w:customStyle="1" w:styleId="8">
    <w:name w:val="纯文本1"/>
    <w:qFormat/>
    <w:uiPriority w:val="0"/>
    <w:rPr>
      <w:rFonts w:ascii="宋体" w:hAnsi="Courier New" w:eastAsia="宋体" w:cs="Times New Roman"/>
      <w:sz w:val="21"/>
      <w:szCs w:val="22"/>
      <w:lang w:val="en-US" w:eastAsia="zh-CN" w:bidi="ar-SA"/>
    </w:rPr>
  </w:style>
  <w:style w:type="table" w:customStyle="1" w:styleId="9">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183</Words>
  <Characters>204</Characters>
  <Lines>0</Lines>
  <Paragraphs>0</Paragraphs>
  <TotalTime>4</TotalTime>
  <ScaleCrop>false</ScaleCrop>
  <LinksUpToDate>false</LinksUpToDate>
  <CharactersWithSpaces>208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2025-01-07T01:30:00Z</dcterms:created>
  <dc:creator>Administrator</dc:creator>
  <cp:lastModifiedBy>团子</cp:lastModifiedBy>
  <dcterms:modified xsi:type="dcterms:W3CDTF">2025-11-05T04:21:05Z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eyJoZGlkIjoiMzhjOGI4ZjIyMDUyYjU3MTA0NGFhNzU5MTRhNGFhNjMiLCJ1c2VySWQiOiI0OTM4MDkyMDUifQ==</vt:lpwstr>
  </property>
  <property fmtid="{D5CDD505-2E9C-101B-9397-08002B2CF9AE}" pid="4" name="ICV">
    <vt:lpwstr>0001784CE5984930B90D4CDD16E4456F_13</vt:lpwstr>
  </property>
</Properties>
</file>