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365C3F">
      <w:pPr>
        <w:spacing w:line="1600" w:lineRule="exact"/>
        <w:jc w:val="center"/>
        <w:rPr>
          <w:rFonts w:hint="eastAsia" w:ascii="方正小标宋简体" w:hAnsi="仿宋" w:eastAsia="方正小标宋简体"/>
          <w:b w:val="0"/>
          <w:bCs w:val="0"/>
          <w:color w:val="FF0000"/>
          <w:spacing w:val="6"/>
          <w:w w:val="65"/>
          <w:sz w:val="90"/>
          <w:szCs w:val="90"/>
        </w:rPr>
      </w:pPr>
      <w:r>
        <w:rPr>
          <w:rFonts w:hint="eastAsia" w:ascii="方正小标宋简体" w:hAnsi="仿宋" w:eastAsia="方正小标宋简体"/>
          <w:b w:val="0"/>
          <w:bCs w:val="0"/>
          <w:color w:val="FF0000"/>
          <w:spacing w:val="6"/>
          <w:w w:val="65"/>
          <w:sz w:val="90"/>
          <w:szCs w:val="90"/>
        </w:rPr>
        <w:t>平山县城市管理综合行政执法局</w:t>
      </w:r>
    </w:p>
    <w:p w14:paraId="196F03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jc w:val="both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137160</wp:posOffset>
                </wp:positionH>
                <wp:positionV relativeFrom="paragraph">
                  <wp:posOffset>10160</wp:posOffset>
                </wp:positionV>
                <wp:extent cx="5467350" cy="19685"/>
                <wp:effectExtent l="0" t="15875" r="0" b="21590"/>
                <wp:wrapNone/>
                <wp:docPr id="1" name="_x0000_s10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61925" y="33655"/>
                          <a:ext cx="5467350" cy="19685"/>
                        </a:xfrm>
                        <a:prstGeom prst="line">
                          <a:avLst/>
                        </a:prstGeom>
                        <a:ln w="31750">
                          <a:solidFill>
                            <a:srgbClr val="FF0000"/>
                          </a:solidFill>
                        </a:ln>
                      </wps:spPr>
                      <wps:bodyPr rot="0" vert="horz" wrap="square" lIns="91440" tIns="45720" rIns="91440" bIns="45720" anchor="t" anchorCtr="0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0.8pt;margin-top:0.8pt;height:1.55pt;width:430.5pt;z-index:251659264;mso-width-relative:page;mso-height-relative:page;" filled="f" stroked="t" coordsize="21600,21600" o:gfxdata="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GGngW&#10;1QAAAAYBAAAPAAAAAAAAAAEAIAAAACIAAABkcnMvZG93bnJldi54bWxQSwECFAAUAAAACACHTuJA&#10;Nmlfu+sBAADNAwAADgAAAAAAAAABACAAAAAkAQAAZHJzL2Uyb0RvYy54bWxQSwUGAAAAAAYABgBZ&#10;AQAAgQUAAAAA&#10;">
                <v:fill on="f" focussize="0,0"/>
                <v:stroke weight="2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b/>
          <w:bCs/>
          <w:sz w:val="44"/>
          <w:szCs w:val="44"/>
          <w:lang w:val="en-US" w:eastAsia="zh-CN"/>
        </w:rPr>
        <w:t xml:space="preserve">       </w:t>
      </w:r>
    </w:p>
    <w:p w14:paraId="74454A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宋体" w:hAnsi="宋体" w:eastAsia="宋体" w:cs="宋体"/>
          <w:b/>
          <w:bCs/>
          <w:w w:val="9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w w:val="90"/>
          <w:sz w:val="44"/>
          <w:szCs w:val="44"/>
        </w:rPr>
        <w:t>平山县城市管理综合行政执法局</w:t>
      </w:r>
    </w:p>
    <w:p w14:paraId="34E299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宋体" w:hAnsi="宋体" w:eastAsia="宋体" w:cs="宋体"/>
          <w:b/>
          <w:bCs/>
          <w:w w:val="9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w w:val="90"/>
          <w:sz w:val="44"/>
          <w:szCs w:val="44"/>
        </w:rPr>
        <w:t>重大行政</w:t>
      </w:r>
      <w:r>
        <w:rPr>
          <w:rFonts w:hint="eastAsia" w:ascii="宋体" w:hAnsi="宋体" w:cs="宋体"/>
          <w:b/>
          <w:bCs/>
          <w:w w:val="90"/>
          <w:sz w:val="44"/>
          <w:szCs w:val="44"/>
          <w:lang w:eastAsia="zh-CN"/>
        </w:rPr>
        <w:t>执法</w:t>
      </w:r>
      <w:r>
        <w:rPr>
          <w:rFonts w:hint="eastAsia" w:ascii="宋体" w:hAnsi="宋体" w:eastAsia="宋体" w:cs="宋体"/>
          <w:b/>
          <w:bCs/>
          <w:w w:val="90"/>
          <w:sz w:val="44"/>
          <w:szCs w:val="44"/>
          <w:lang w:eastAsia="zh-CN"/>
        </w:rPr>
        <w:t>决定法制</w:t>
      </w:r>
      <w:r>
        <w:rPr>
          <w:rFonts w:hint="eastAsia" w:ascii="宋体" w:hAnsi="宋体" w:eastAsia="宋体" w:cs="宋体"/>
          <w:b/>
          <w:bCs/>
          <w:w w:val="90"/>
          <w:sz w:val="44"/>
          <w:szCs w:val="44"/>
        </w:rPr>
        <w:t>审核及集体讨论制度</w:t>
      </w:r>
    </w:p>
    <w:p w14:paraId="243A7A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宋体" w:hAnsi="宋体" w:eastAsia="宋体" w:cs="宋体"/>
          <w:b/>
          <w:bCs/>
          <w:w w:val="90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w w:val="90"/>
          <w:sz w:val="44"/>
          <w:szCs w:val="44"/>
          <w:lang w:val="en-US" w:eastAsia="zh-CN"/>
        </w:rPr>
        <w:t>2025-08-08</w:t>
      </w:r>
    </w:p>
    <w:p w14:paraId="0F50E2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</w:p>
    <w:p w14:paraId="0C8864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第一章 总则</w:t>
      </w:r>
    </w:p>
    <w:p w14:paraId="70BA73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</w:rPr>
        <w:t>第一条 制定目的</w:t>
      </w:r>
    </w:p>
    <w:p w14:paraId="603039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为规范重大行政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执法</w:t>
      </w:r>
      <w:r>
        <w:rPr>
          <w:rFonts w:hint="eastAsia" w:ascii="仿宋" w:hAnsi="仿宋" w:eastAsia="仿宋" w:cs="仿宋"/>
          <w:sz w:val="32"/>
          <w:szCs w:val="32"/>
        </w:rPr>
        <w:t>决定法制审核及集体讨论程序，加强行政执法监督，保障公民、法人和其他组织的合法权益，根据《中华人民共和国行政处罚法》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《河北省行政执法监督条例》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《河北省重大行政执法决定法制审核办法》等法律法规及相关规定，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参照《河北省住房和城乡建设厅重大行政执法决定法制审核办法》、《石家庄市城市管理综合行政执法局重大执法决定法制审核办法通知》，</w:t>
      </w:r>
      <w:r>
        <w:rPr>
          <w:rFonts w:hint="eastAsia" w:ascii="仿宋" w:hAnsi="仿宋" w:eastAsia="仿宋" w:cs="仿宋"/>
          <w:sz w:val="32"/>
          <w:szCs w:val="32"/>
        </w:rPr>
        <w:t>结合本局实际，制定本制度。</w:t>
      </w:r>
    </w:p>
    <w:p w14:paraId="6BAB8E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</w:rPr>
        <w:t>第二条 适用范围</w:t>
      </w:r>
    </w:p>
    <w:p w14:paraId="0937C2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本局作出的重大行政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执法</w:t>
      </w:r>
      <w:r>
        <w:rPr>
          <w:rFonts w:hint="eastAsia" w:ascii="仿宋" w:hAnsi="仿宋" w:eastAsia="仿宋" w:cs="仿宋"/>
          <w:sz w:val="32"/>
          <w:szCs w:val="32"/>
        </w:rPr>
        <w:t>决定的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法制</w:t>
      </w:r>
      <w:r>
        <w:rPr>
          <w:rFonts w:hint="eastAsia" w:ascii="仿宋" w:hAnsi="仿宋" w:eastAsia="仿宋" w:cs="仿宋"/>
          <w:sz w:val="32"/>
          <w:szCs w:val="32"/>
        </w:rPr>
        <w:t>审核及集体讨论，适用本制度。</w:t>
      </w:r>
    </w:p>
    <w:p w14:paraId="016BAA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制度</w:t>
      </w:r>
      <w:r>
        <w:rPr>
          <w:rFonts w:hint="eastAsia" w:ascii="仿宋" w:hAnsi="仿宋" w:eastAsia="仿宋" w:cs="仿宋"/>
          <w:sz w:val="32"/>
          <w:szCs w:val="32"/>
        </w:rPr>
        <w:t>所称重大行政执法决定法制审核，是指城管局内设机构在依法作出行政处罚、行政强制、行政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许可、行政赔偿、不予行政处罚等</w:t>
      </w:r>
      <w:r>
        <w:rPr>
          <w:rFonts w:hint="eastAsia" w:ascii="仿宋" w:hAnsi="仿宋" w:eastAsia="仿宋" w:cs="仿宋"/>
          <w:sz w:val="32"/>
          <w:szCs w:val="32"/>
        </w:rPr>
        <w:t>重大行政执法决定之前，局法制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审核机构</w:t>
      </w:r>
      <w:r>
        <w:rPr>
          <w:rFonts w:hint="eastAsia" w:ascii="仿宋" w:hAnsi="仿宋" w:eastAsia="仿宋" w:cs="仿宋"/>
          <w:sz w:val="32"/>
          <w:szCs w:val="32"/>
        </w:rPr>
        <w:t xml:space="preserve">对其合法性、适当性进行审核的行为。 </w:t>
      </w:r>
    </w:p>
    <w:p w14:paraId="432F4C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第三条 基本原则</w:t>
      </w:r>
    </w:p>
    <w:p w14:paraId="1F2B96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重大行政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执法</w:t>
      </w:r>
      <w:r>
        <w:rPr>
          <w:rFonts w:hint="eastAsia" w:ascii="仿宋" w:hAnsi="仿宋" w:eastAsia="仿宋" w:cs="仿宋"/>
          <w:sz w:val="32"/>
          <w:szCs w:val="32"/>
        </w:rPr>
        <w:t>决定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法制</w:t>
      </w:r>
      <w:r>
        <w:rPr>
          <w:rFonts w:hint="eastAsia" w:ascii="仿宋" w:hAnsi="仿宋" w:eastAsia="仿宋" w:cs="仿宋"/>
          <w:sz w:val="32"/>
          <w:szCs w:val="32"/>
        </w:rPr>
        <w:t>审核及集体讨论应当遵循合法、公正、公平、及时的原则，坚持应审必审、有错必纠，保证重大行政处罚决定合法、适当。</w:t>
      </w:r>
    </w:p>
    <w:p w14:paraId="709497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center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 xml:space="preserve">第二章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法制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审核范围</w:t>
      </w:r>
    </w:p>
    <w:p w14:paraId="4FD2A4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第四条 重大行政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执法</w:t>
      </w:r>
      <w:r>
        <w:rPr>
          <w:rFonts w:hint="eastAsia" w:ascii="楷体" w:hAnsi="楷体" w:eastAsia="楷体" w:cs="楷体"/>
          <w:sz w:val="32"/>
          <w:szCs w:val="32"/>
        </w:rPr>
        <w:t>决定范围</w:t>
      </w:r>
    </w:p>
    <w:p w14:paraId="0BE21A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本制度所称重大行政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执法</w:t>
      </w:r>
      <w:r>
        <w:rPr>
          <w:rFonts w:hint="eastAsia" w:ascii="仿宋" w:hAnsi="仿宋" w:eastAsia="仿宋" w:cs="仿宋"/>
          <w:sz w:val="32"/>
          <w:szCs w:val="32"/>
        </w:rPr>
        <w:t>决定，是指具有下列情形之一的行政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执法</w:t>
      </w:r>
      <w:r>
        <w:rPr>
          <w:rFonts w:hint="eastAsia" w:ascii="仿宋" w:hAnsi="仿宋" w:eastAsia="仿宋" w:cs="仿宋"/>
          <w:sz w:val="32"/>
          <w:szCs w:val="32"/>
        </w:rPr>
        <w:t>决定：</w:t>
      </w:r>
    </w:p>
    <w:p w14:paraId="18EDC31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1.</w:t>
      </w:r>
      <w:r>
        <w:rPr>
          <w:rFonts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涉及重大国家利益和公共利益的事项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；</w:t>
      </w:r>
    </w:p>
    <w:p w14:paraId="1246BB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2.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可能造成重大社会影响或引发社会风险的；</w:t>
      </w:r>
    </w:p>
    <w:p w14:paraId="7988D4A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3.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直接关系行政管理相对人或他人重大权益的；</w:t>
      </w:r>
    </w:p>
    <w:p w14:paraId="39DB1C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4.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案件情况疑难复杂，涉及多个法律关系的；</w:t>
      </w:r>
    </w:p>
    <w:p w14:paraId="020999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.对公民处以1万元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（含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以上、对法人或者其他组织处以10万元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（含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以上的罚款；</w:t>
      </w:r>
    </w:p>
    <w:p w14:paraId="6A4D70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. 没收违法所得或者没收非法财物价值相当于第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五</w:t>
      </w:r>
      <w:r>
        <w:rPr>
          <w:rFonts w:hint="eastAsia" w:ascii="仿宋" w:hAnsi="仿宋" w:eastAsia="仿宋" w:cs="仿宋"/>
          <w:sz w:val="32"/>
          <w:szCs w:val="32"/>
        </w:rPr>
        <w:t>项规定数额的；</w:t>
      </w:r>
    </w:p>
    <w:p w14:paraId="3DA3C8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. </w:t>
      </w:r>
      <w:r>
        <w:rPr>
          <w:rFonts w:hint="default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拟作出行政赔偿或者不予行政赔偿决定的；</w:t>
      </w:r>
    </w:p>
    <w:p w14:paraId="1C65FD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. 吊销许可证或者营业执照的；</w:t>
      </w:r>
    </w:p>
    <w:p w14:paraId="6F51FF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9.经过听证程序作出处罚决定的；</w:t>
      </w:r>
    </w:p>
    <w:p w14:paraId="5AC3C7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</w:rPr>
        <w:t>. 法律、法规、规章规定的其他情形。</w:t>
      </w:r>
    </w:p>
    <w:p w14:paraId="662256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center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 xml:space="preserve">第三章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法制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 xml:space="preserve">审核内容 </w:t>
      </w:r>
    </w:p>
    <w:p w14:paraId="514428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 xml:space="preserve">第五条 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法制</w:t>
      </w:r>
      <w:r>
        <w:rPr>
          <w:rFonts w:hint="eastAsia" w:ascii="楷体" w:hAnsi="楷体" w:eastAsia="楷体" w:cs="楷体"/>
          <w:sz w:val="32"/>
          <w:szCs w:val="32"/>
        </w:rPr>
        <w:t>审核内容</w:t>
      </w:r>
    </w:p>
    <w:p w14:paraId="126C4C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法制审核机构应当对以下内容进行审核：</w:t>
      </w:r>
    </w:p>
    <w:p w14:paraId="5CE416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 行政执法主体是否合法，行政执法人员是否具备执法资格；</w:t>
      </w:r>
    </w:p>
    <w:p w14:paraId="088639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 是否超越本机关法定权限；</w:t>
      </w:r>
    </w:p>
    <w:p w14:paraId="0D36B6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 案件事实是否清楚，证据是否合法充分；</w:t>
      </w:r>
    </w:p>
    <w:p w14:paraId="34E8E1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 适用法律、法规、规章是否准确；</w:t>
      </w:r>
    </w:p>
    <w:p w14:paraId="3F0BD9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5. 适用裁量基准是否适当；</w:t>
      </w:r>
    </w:p>
    <w:p w14:paraId="0A54D7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6. 行政执法程序是否合法；</w:t>
      </w:r>
    </w:p>
    <w:p w14:paraId="2F6378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7. 行政执法文书是否完备、规范；</w:t>
      </w:r>
    </w:p>
    <w:p w14:paraId="4B4EC1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8. 违法行为是否涉嫌犯罪需要移送司法机关；</w:t>
      </w:r>
    </w:p>
    <w:p w14:paraId="67A01D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9. 其他应当审核的内容。</w:t>
      </w:r>
    </w:p>
    <w:p w14:paraId="06D276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 xml:space="preserve">第四章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法制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审核程序</w:t>
      </w:r>
    </w:p>
    <w:p w14:paraId="0B30F2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第六条 案件提交</w:t>
      </w:r>
    </w:p>
    <w:p w14:paraId="6A6A6F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执法承办机构在案件调查或者审查结束后，拟作出重大行政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执法</w:t>
      </w:r>
      <w:r>
        <w:rPr>
          <w:rFonts w:hint="eastAsia" w:ascii="仿宋" w:hAnsi="仿宋" w:eastAsia="仿宋" w:cs="仿宋"/>
          <w:sz w:val="32"/>
          <w:szCs w:val="32"/>
        </w:rPr>
        <w:t>决定的，应当先送本局法制审核机构进行法制审核。执法承办机构在送审时，应当提交下列材料：</w:t>
      </w:r>
    </w:p>
    <w:p w14:paraId="100714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 调查终结报告或者有关审查情况报告；</w:t>
      </w:r>
    </w:p>
    <w:p w14:paraId="6D3141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 执法决定代拟稿；</w:t>
      </w:r>
    </w:p>
    <w:p w14:paraId="25138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 作出执法决定的相关依据；</w:t>
      </w:r>
    </w:p>
    <w:p w14:paraId="408F5A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 作出执法决定的证据资料；</w:t>
      </w:r>
    </w:p>
    <w:p w14:paraId="373C3D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5. 经听证、评估的，提交听证笔录、评估报告；</w:t>
      </w:r>
    </w:p>
    <w:p w14:paraId="5605CB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6. 其他应当提交的材料。</w:t>
      </w:r>
    </w:p>
    <w:p w14:paraId="3DA339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第七条 审核期限</w:t>
      </w:r>
    </w:p>
    <w:p w14:paraId="148230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法制审核机构应当自收到执法承办机构送审材料之日起5个工作日内完成法制审核。情况复杂的，经本局主要负责人批准可以延长5个工作日。补充材料的时间不计入审核期限。</w:t>
      </w:r>
    </w:p>
    <w:p w14:paraId="208E62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第八条 审核意见</w:t>
      </w:r>
    </w:p>
    <w:p w14:paraId="219E52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法制审核机构完成法制审核后，应当区别情况，提出以下书面审核意见：</w:t>
      </w:r>
    </w:p>
    <w:p w14:paraId="3B36A8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 符合下列情形的，提出同意的意见：</w:t>
      </w:r>
    </w:p>
    <w:p w14:paraId="3943A2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行政执法主体合法；</w:t>
      </w:r>
    </w:p>
    <w:p w14:paraId="2E6B09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行政执法人员具备执法资格；</w:t>
      </w:r>
    </w:p>
    <w:p w14:paraId="09C4B1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未超越本机关法定权限；</w:t>
      </w:r>
    </w:p>
    <w:p w14:paraId="389598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事实认定清楚；</w:t>
      </w:r>
    </w:p>
    <w:p w14:paraId="134323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证据合法充分；</w:t>
      </w:r>
    </w:p>
    <w:p w14:paraId="57FC96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适用法律、法规、规章准确；</w:t>
      </w:r>
    </w:p>
    <w:p w14:paraId="25CC4E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适用裁量基准适当；</w:t>
      </w:r>
    </w:p>
    <w:p w14:paraId="0D2704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程序合法；</w:t>
      </w:r>
    </w:p>
    <w:p w14:paraId="5FC6DE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行政执法文书完备、规范。</w:t>
      </w:r>
    </w:p>
    <w:p w14:paraId="596706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 有下列情形之一的，提出改正的意见：</w:t>
      </w:r>
    </w:p>
    <w:p w14:paraId="30EEB9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事实认定、证据和程序有瑕疵；</w:t>
      </w:r>
    </w:p>
    <w:p w14:paraId="5C71A8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适用法律、法规、规章错误；</w:t>
      </w:r>
    </w:p>
    <w:p w14:paraId="63E848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适用裁量基准不当；</w:t>
      </w:r>
    </w:p>
    <w:p w14:paraId="3769DD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行政执法文书不规范。</w:t>
      </w:r>
    </w:p>
    <w:p w14:paraId="69D7FD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 有下列情形之一的，提出重新调查、补充调查或者不予作出行政执法决定的意见：</w:t>
      </w:r>
    </w:p>
    <w:p w14:paraId="0AA97F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行政执法主体不合法；</w:t>
      </w:r>
    </w:p>
    <w:p w14:paraId="1E24A2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行政执法人员不具备执法资格；</w:t>
      </w:r>
    </w:p>
    <w:p w14:paraId="2851BC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事实认定不清；</w:t>
      </w:r>
    </w:p>
    <w:p w14:paraId="56DFCF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主要证据不足；</w:t>
      </w:r>
    </w:p>
    <w:p w14:paraId="645D9F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违反法定程序。</w:t>
      </w:r>
    </w:p>
    <w:p w14:paraId="2F1DB1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 超越本机关法定权限或者涉嫌犯罪的，提出移送的意见。</w:t>
      </w:r>
    </w:p>
    <w:p w14:paraId="63CB1A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5. 其他意见或者建议。</w:t>
      </w:r>
    </w:p>
    <w:p w14:paraId="0CF6D6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法制审核意见应当经法制审核机构负责人签字。</w:t>
      </w:r>
    </w:p>
    <w:p w14:paraId="6EA81B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第九条 审核结果处理</w:t>
      </w:r>
    </w:p>
    <w:p w14:paraId="444F62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重大行政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执法</w:t>
      </w:r>
      <w:r>
        <w:rPr>
          <w:rFonts w:hint="eastAsia" w:ascii="仿宋" w:hAnsi="仿宋" w:eastAsia="仿宋" w:cs="仿宋"/>
          <w:sz w:val="32"/>
          <w:szCs w:val="32"/>
        </w:rPr>
        <w:t>决定经法制审核未通过的，执法承办机构应当根据审核意见作出相应处理，再次送法制审核机构审核。执法承办机构对法制审核意见有异议的，可以自收到审核意见之日起2个工作日内书面向法制审核机构提出复审建议。法制审核机构应当自收到书面复审建议之日起2个工作日内提出复审意见。执法承办机构对复审意见仍有异议的，报请本局主要负责人决定。</w:t>
      </w:r>
    </w:p>
    <w:p w14:paraId="1F0E42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center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第五章 集体讨论程序</w:t>
      </w:r>
    </w:p>
    <w:p w14:paraId="69B7D3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第十条 集体讨论适用情形</w:t>
      </w:r>
    </w:p>
    <w:p w14:paraId="0B1DE1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拟作出的重大行政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执法</w:t>
      </w:r>
      <w:r>
        <w:rPr>
          <w:rFonts w:hint="eastAsia" w:ascii="仿宋" w:hAnsi="仿宋" w:eastAsia="仿宋" w:cs="仿宋"/>
          <w:sz w:val="32"/>
          <w:szCs w:val="32"/>
        </w:rPr>
        <w:t>决定，经法制审核通过后，应当提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请组织局机关相关负责人</w:t>
      </w:r>
      <w:r>
        <w:rPr>
          <w:rFonts w:hint="eastAsia" w:ascii="仿宋" w:hAnsi="仿宋" w:eastAsia="仿宋" w:cs="仿宋"/>
          <w:sz w:val="32"/>
          <w:szCs w:val="32"/>
        </w:rPr>
        <w:t>集体讨论决定。</w:t>
      </w:r>
    </w:p>
    <w:p w14:paraId="271E95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 xml:space="preserve">第十一条 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集体讨论人员</w:t>
      </w:r>
      <w:r>
        <w:rPr>
          <w:rFonts w:hint="eastAsia" w:ascii="楷体" w:hAnsi="楷体" w:eastAsia="楷体" w:cs="楷体"/>
          <w:sz w:val="32"/>
          <w:szCs w:val="32"/>
        </w:rPr>
        <w:t>组成</w:t>
      </w:r>
    </w:p>
    <w:p w14:paraId="23EAF0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参加重大行政执法决定的人员为</w:t>
      </w:r>
      <w:r>
        <w:rPr>
          <w:rFonts w:hint="eastAsia" w:ascii="仿宋" w:hAnsi="仿宋" w:eastAsia="仿宋" w:cs="仿宋"/>
          <w:sz w:val="32"/>
          <w:szCs w:val="32"/>
        </w:rPr>
        <w:t>本局主要负责人、分管法制工作的负责人、分管执法工作的负责人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（业务分管负责人）</w:t>
      </w:r>
      <w:r>
        <w:rPr>
          <w:rFonts w:hint="eastAsia" w:ascii="仿宋" w:hAnsi="仿宋" w:eastAsia="仿宋" w:cs="仿宋"/>
          <w:sz w:val="32"/>
          <w:szCs w:val="32"/>
        </w:rPr>
        <w:t>、法制审核机构负责人、执法承办机构负责人及相关执法人员组成。必要时，可以邀请法律顾问、专家学者等参加。</w:t>
      </w:r>
    </w:p>
    <w:p w14:paraId="02351B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第十二条 集体讨论程序</w:t>
      </w:r>
    </w:p>
    <w:p w14:paraId="03A19C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 具体承办执法人员介绍案情的基本情况，包括案件事实、主要证据、程序、适用的法律和裁量权行使的情况等；</w:t>
      </w:r>
    </w:p>
    <w:p w14:paraId="424ED0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 案件承办机构负责人就案件的焦点问题进行分析，就拟作出的重大行政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执法</w:t>
      </w:r>
      <w:r>
        <w:rPr>
          <w:rFonts w:hint="eastAsia" w:ascii="仿宋" w:hAnsi="仿宋" w:eastAsia="仿宋" w:cs="仿宋"/>
          <w:sz w:val="32"/>
          <w:szCs w:val="32"/>
        </w:rPr>
        <w:t>决定说明法律依据和理由，并提出处理意见；</w:t>
      </w:r>
    </w:p>
    <w:p w14:paraId="757B17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 法制审核机构依据法律法规的规定，对拟作出的重大行政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执法</w:t>
      </w:r>
      <w:r>
        <w:rPr>
          <w:rFonts w:hint="eastAsia" w:ascii="仿宋" w:hAnsi="仿宋" w:eastAsia="仿宋" w:cs="仿宋"/>
          <w:sz w:val="32"/>
          <w:szCs w:val="32"/>
        </w:rPr>
        <w:t>决定所认定的案件事实是否清楚，依据的法律、法规是否准确，行使裁量权是否恰当等进行讨论、审查，并提出相应处理意见；</w:t>
      </w:r>
    </w:p>
    <w:p w14:paraId="72C09D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4. 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局主要负责人、各分管负责人</w:t>
      </w:r>
      <w:r>
        <w:rPr>
          <w:rFonts w:hint="eastAsia" w:ascii="仿宋" w:hAnsi="仿宋" w:eastAsia="仿宋" w:cs="仿宋"/>
          <w:sz w:val="32"/>
          <w:szCs w:val="32"/>
        </w:rPr>
        <w:t>就案件的事实是否属实，对拟作出的重大行政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执法</w:t>
      </w:r>
      <w:r>
        <w:rPr>
          <w:rFonts w:hint="eastAsia" w:ascii="仿宋" w:hAnsi="仿宋" w:eastAsia="仿宋" w:cs="仿宋"/>
          <w:sz w:val="32"/>
          <w:szCs w:val="32"/>
        </w:rPr>
        <w:t>决定是否合法、适当进行审查，并实事求是发表意见；</w:t>
      </w:r>
    </w:p>
    <w:p w14:paraId="650272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5. 会议主持人组织参会人员对行政执法决定进行表决，但具体承办执法人员不参加表决；</w:t>
      </w:r>
    </w:p>
    <w:p w14:paraId="50BC88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6. 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集体讨论</w:t>
      </w:r>
      <w:r>
        <w:rPr>
          <w:rFonts w:hint="eastAsia" w:ascii="仿宋" w:hAnsi="仿宋" w:eastAsia="仿宋" w:cs="仿宋"/>
          <w:sz w:val="32"/>
          <w:szCs w:val="32"/>
        </w:rPr>
        <w:t>意见及决定应制作笔录，参会人员核实并签署姓名。</w:t>
      </w:r>
    </w:p>
    <w:p w14:paraId="051CCC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第十三条 表决规则</w:t>
      </w:r>
    </w:p>
    <w:p w14:paraId="430ED6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集体讨论采用少数服从多数的原则作出最终重大行政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执法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决定。</w:t>
      </w:r>
    </w:p>
    <w:p w14:paraId="589C2D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第十四条 讨论记录</w:t>
      </w:r>
    </w:p>
    <w:p w14:paraId="1A3131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法制审核机构应当对集体讨论进行书面记录，有不同意见的，应如实记入笔录，集体讨论记录同执法文书一起存入该案卷档案。</w:t>
      </w:r>
    </w:p>
    <w:p w14:paraId="7E4528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center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第六章 责任追究</w:t>
      </w:r>
    </w:p>
    <w:p w14:paraId="369219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第十五条 责任追究情形</w:t>
      </w:r>
    </w:p>
    <w:p w14:paraId="68F358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行政执法人员、法制审核人员有下列情形之一的，依法追究相应责任：</w:t>
      </w:r>
    </w:p>
    <w:p w14:paraId="187C3F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 未按规定提交法制审核或者集体讨论的；</w:t>
      </w:r>
    </w:p>
    <w:p w14:paraId="30C26B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 提交的材料不真实、不准确、不完整的；</w:t>
      </w:r>
    </w:p>
    <w:p w14:paraId="636A02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 在法制审核或者集体讨论过程中弄虚作假、玩忽职守、徇私舞弊的；</w:t>
      </w:r>
    </w:p>
    <w:p w14:paraId="55BC20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 其他违反本制度规定的行为。</w:t>
      </w:r>
    </w:p>
    <w:p w14:paraId="614C4D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第十六条 责任追究方式</w:t>
      </w:r>
    </w:p>
    <w:p w14:paraId="0F0602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对违反本制度规定的人员，视情节轻重，给予批评教育、责令改正、通报批评、调离执法岗位等处理；构成违纪的，依法给予纪律处分；构成犯罪的，依法追究刑事责任。</w:t>
      </w:r>
    </w:p>
    <w:p w14:paraId="5EFF2E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3520" w:firstLineChars="11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第七章 附则</w:t>
      </w:r>
    </w:p>
    <w:p w14:paraId="7C44FA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第十七条 解释权</w:t>
      </w:r>
    </w:p>
    <w:p w14:paraId="5B1B8A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本制度由本局负责解释。</w:t>
      </w:r>
    </w:p>
    <w:p w14:paraId="1B9FA9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第十八条 生效时间</w:t>
      </w:r>
    </w:p>
    <w:p w14:paraId="6E94EF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本制度自发布之日起施行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，《平山县城市管理综合行政执法局重大行政执法决定法制审核制度》同时废止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21F7A6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1F842F4B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/>
        <w:jc w:val="both"/>
        <w:textAlignment w:val="auto"/>
        <w:rPr>
          <w:rFonts w:hint="default"/>
          <w:b/>
          <w:bCs/>
          <w:sz w:val="44"/>
          <w:szCs w:val="44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701" w:right="1417" w:bottom="1440" w:left="1417" w:header="851" w:footer="992" w:gutter="0"/>
      <w:pgNumType w:fmt="numberInDash" w:start="1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Arial Unicode MS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0F2182">
    <w:pPr>
      <w:pStyle w:val="20"/>
      <w:tabs>
        <w:tab w:val="clear" w:pos="4153"/>
        <w:tab w:val="clear" w:pos="8306"/>
      </w:tabs>
      <w:rPr>
        <w:sz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28175FF">
                          <w:pPr>
                            <w:pStyle w:val="6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- 9 -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28175FF">
                    <w:pPr>
                      <w:pStyle w:val="6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- 9 -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A9D176">
    <w:pPr>
      <w:pStyle w:val="21"/>
      <w:pBdr>
        <w:bottom w:val="none" w:color="000000" w:sz="0" w:space="0"/>
      </w:pBdr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6AAC745"/>
    <w:multiLevelType w:val="multilevel"/>
    <w:tmpl w:val="56AAC745"/>
    <w:lvl w:ilvl="0" w:tentative="0">
      <w:start w:val="1"/>
      <w:numFmt w:val="decimal"/>
      <w:lvlText w:val="%1"/>
      <w:lvlJc w:val="left"/>
      <w:pPr>
        <w:tabs>
          <w:tab w:val="left" w:pos="432"/>
        </w:tabs>
        <w:ind w:left="432" w:hanging="432"/>
      </w:pPr>
      <w:rPr>
        <w:rFonts w:ascii="Times New Roman" w:hAnsi="Times New Roman" w:eastAsia="宋体"/>
      </w:rPr>
    </w:lvl>
    <w:lvl w:ilvl="1" w:tentative="0">
      <w:start w:val="1"/>
      <w:numFmt w:val="decimal"/>
      <w:lvlText w:val="%1.%2"/>
      <w:lvlJc w:val="left"/>
      <w:pPr>
        <w:tabs>
          <w:tab w:val="left" w:pos="575"/>
        </w:tabs>
        <w:ind w:left="575" w:hanging="575"/>
      </w:pPr>
      <w:rPr>
        <w:rFonts w:hint="eastAsia" w:ascii="Times New Roman" w:hAnsi="Times New Roman" w:eastAsia="宋体"/>
      </w:rPr>
    </w:lvl>
    <w:lvl w:ilvl="2" w:tentative="0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  <w:rPr>
        <w:rFonts w:hint="eastAsia" w:ascii="Times New Roman" w:hAnsi="Times New Roman" w:eastAsia="宋体"/>
      </w:rPr>
    </w:lvl>
    <w:lvl w:ilvl="3" w:tentative="0">
      <w:start w:val="1"/>
      <w:numFmt w:val="decimal"/>
      <w:pStyle w:val="2"/>
      <w:lvlText w:val="%1.%2.%3.%4"/>
      <w:lvlJc w:val="left"/>
      <w:pPr>
        <w:tabs>
          <w:tab w:val="left" w:pos="864"/>
        </w:tabs>
        <w:ind w:left="864" w:hanging="864"/>
      </w:pPr>
      <w:rPr>
        <w:rFonts w:hint="eastAsia" w:ascii="Times New Roman" w:hAnsi="Times New Roman" w:eastAsia="宋体"/>
      </w:rPr>
    </w:lvl>
    <w:lvl w:ilvl="4" w:tentative="0">
      <w:start w:val="1"/>
      <w:numFmt w:val="decimal"/>
      <w:lvlText w:val="%1.%2.%3.%4.%5.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."/>
      <w:lvlJc w:val="left"/>
      <w:pPr>
        <w:tabs>
          <w:tab w:val="left" w:pos="1151"/>
        </w:tabs>
        <w:ind w:left="1151" w:hanging="1151"/>
      </w:pPr>
      <w:rPr>
        <w:rFonts w:hint="eastAsia"/>
      </w:rPr>
    </w:lvl>
    <w:lvl w:ilvl="6" w:tentative="0">
      <w:start w:val="1"/>
      <w:numFmt w:val="decimal"/>
      <w:lvlText w:val="%1.%2.%3.%4.%5.%6.%7.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.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."/>
      <w:lvlJc w:val="left"/>
      <w:pPr>
        <w:tabs>
          <w:tab w:val="left" w:pos="1583"/>
        </w:tabs>
        <w:ind w:left="1583" w:hanging="1583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420"/>
  <w:displayHorizontalDrawingGridEvery w:val="0"/>
  <w:displayVerticalDrawingGridEvery w:val="2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RjMDVmMTMxNDcxM2EwMWU4NzQ5MWJhY2Q0MDA0ZjgifQ=="/>
  </w:docVars>
  <w:rsids>
    <w:rsidRoot w:val="00000000"/>
    <w:rsid w:val="0B02454C"/>
    <w:rsid w:val="100221DB"/>
    <w:rsid w:val="11D0732A"/>
    <w:rsid w:val="13DB015A"/>
    <w:rsid w:val="18BD2625"/>
    <w:rsid w:val="20420A1F"/>
    <w:rsid w:val="227D591F"/>
    <w:rsid w:val="23274412"/>
    <w:rsid w:val="25B85199"/>
    <w:rsid w:val="27341F26"/>
    <w:rsid w:val="2C657ABD"/>
    <w:rsid w:val="2D0C68DC"/>
    <w:rsid w:val="2D667769"/>
    <w:rsid w:val="30FB0D6B"/>
    <w:rsid w:val="325D4EBF"/>
    <w:rsid w:val="3463062E"/>
    <w:rsid w:val="37376070"/>
    <w:rsid w:val="4319075F"/>
    <w:rsid w:val="455D00A8"/>
    <w:rsid w:val="480D2A17"/>
    <w:rsid w:val="50936833"/>
    <w:rsid w:val="5A8D4302"/>
    <w:rsid w:val="5E3C2509"/>
    <w:rsid w:val="60273ABB"/>
    <w:rsid w:val="68EB1844"/>
    <w:rsid w:val="6CC75363"/>
    <w:rsid w:val="7133047E"/>
    <w:rsid w:val="7F9172D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27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keepNext/>
      <w:keepLines/>
      <w:numPr>
        <w:ilvl w:val="3"/>
        <w:numId w:val="1"/>
      </w:numPr>
      <w:tabs>
        <w:tab w:val="left" w:pos="432"/>
      </w:tabs>
      <w:spacing w:line="360" w:lineRule="auto"/>
      <w:jc w:val="left"/>
      <w:outlineLvl w:val="3"/>
    </w:pPr>
    <w:rPr>
      <w:rFonts w:eastAsia="黑体"/>
      <w:b/>
      <w:szCs w:val="24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2"/>
    <w:qFormat/>
    <w:uiPriority w:val="0"/>
    <w:pPr>
      <w:ind w:firstLine="420" w:firstLineChars="200"/>
    </w:pPr>
  </w:style>
  <w:style w:type="paragraph" w:styleId="4">
    <w:name w:val="Body Text"/>
    <w:basedOn w:val="1"/>
    <w:next w:val="1"/>
    <w:qFormat/>
    <w:uiPriority w:val="0"/>
    <w:pPr>
      <w:spacing w:after="120"/>
    </w:pPr>
    <w:rPr>
      <w:rFonts w:ascii="仿宋_GB2312" w:hAnsi="Calibri" w:eastAsia="仿宋_GB2312"/>
      <w:sz w:val="28"/>
      <w:szCs w:val="28"/>
    </w:rPr>
  </w:style>
  <w:style w:type="paragraph" w:styleId="5">
    <w:name w:val="Body Text Indent"/>
    <w:basedOn w:val="1"/>
    <w:qFormat/>
    <w:uiPriority w:val="0"/>
    <w:pPr>
      <w:spacing w:after="120"/>
      <w:ind w:left="420" w:leftChars="200"/>
    </w:pPr>
  </w:style>
  <w:style w:type="paragraph" w:styleId="6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9">
    <w:name w:val="Body Text First Indent 2"/>
    <w:basedOn w:val="5"/>
    <w:qFormat/>
    <w:uiPriority w:val="0"/>
    <w:pPr>
      <w:ind w:firstLine="420" w:firstLineChars="200"/>
    </w:pPr>
  </w:style>
  <w:style w:type="paragraph" w:customStyle="1" w:styleId="12">
    <w:name w:val="标题 11"/>
    <w:basedOn w:val="1"/>
    <w:qFormat/>
    <w:uiPriority w:val="0"/>
    <w:pPr>
      <w:widowControl/>
      <w:spacing w:before="100" w:beforeAutospacing="1" w:after="100" w:afterAutospacing="1"/>
      <w:jc w:val="left"/>
      <w:outlineLvl w:val="0"/>
    </w:pPr>
    <w:rPr>
      <w:rFonts w:ascii="宋体" w:hAnsi="宋体"/>
      <w:b/>
      <w:bCs/>
      <w:kern w:val="36"/>
      <w:sz w:val="48"/>
      <w:szCs w:val="48"/>
    </w:rPr>
  </w:style>
  <w:style w:type="paragraph" w:customStyle="1" w:styleId="13">
    <w:name w:val="标题 41"/>
    <w:basedOn w:val="1"/>
    <w:qFormat/>
    <w:uiPriority w:val="0"/>
    <w:pPr>
      <w:keepNext/>
      <w:keepLines/>
      <w:numPr>
        <w:ilvl w:val="3"/>
        <w:numId w:val="1"/>
      </w:numPr>
      <w:spacing w:line="360" w:lineRule="auto"/>
      <w:jc w:val="left"/>
      <w:outlineLvl w:val="3"/>
    </w:pPr>
    <w:rPr>
      <w:rFonts w:eastAsia="黑体"/>
      <w:b/>
      <w:szCs w:val="24"/>
    </w:rPr>
  </w:style>
  <w:style w:type="character" w:customStyle="1" w:styleId="14">
    <w:name w:val="默认段落字体1"/>
    <w:link w:val="1"/>
    <w:semiHidden/>
    <w:qFormat/>
    <w:uiPriority w:val="0"/>
  </w:style>
  <w:style w:type="table" w:customStyle="1" w:styleId="15">
    <w:name w:val="普通表格1"/>
    <w:semiHidden/>
    <w:qFormat/>
    <w:uiPriority w:val="0"/>
  </w:style>
  <w:style w:type="paragraph" w:customStyle="1" w:styleId="16">
    <w:name w:val="正文缩进1"/>
    <w:basedOn w:val="1"/>
    <w:qFormat/>
    <w:uiPriority w:val="0"/>
    <w:pPr>
      <w:ind w:firstLine="420" w:firstLineChars="200"/>
    </w:pPr>
  </w:style>
  <w:style w:type="paragraph" w:customStyle="1" w:styleId="17">
    <w:name w:val="正文文本1"/>
    <w:basedOn w:val="1"/>
    <w:qFormat/>
    <w:uiPriority w:val="0"/>
    <w:pPr>
      <w:spacing w:after="120"/>
    </w:pPr>
    <w:rPr>
      <w:rFonts w:ascii="仿宋_GB2312" w:hAnsi="Calibri" w:eastAsia="仿宋_GB2312"/>
      <w:sz w:val="28"/>
      <w:szCs w:val="28"/>
    </w:rPr>
  </w:style>
  <w:style w:type="paragraph" w:customStyle="1" w:styleId="18">
    <w:name w:val="正文文本缩进1"/>
    <w:basedOn w:val="1"/>
    <w:qFormat/>
    <w:uiPriority w:val="0"/>
    <w:pPr>
      <w:spacing w:after="120"/>
      <w:ind w:left="420" w:leftChars="200"/>
    </w:pPr>
  </w:style>
  <w:style w:type="paragraph" w:customStyle="1" w:styleId="19">
    <w:name w:val="批注框文本1"/>
    <w:basedOn w:val="1"/>
    <w:semiHidden/>
    <w:qFormat/>
    <w:uiPriority w:val="0"/>
    <w:rPr>
      <w:sz w:val="18"/>
      <w:szCs w:val="18"/>
    </w:rPr>
  </w:style>
  <w:style w:type="paragraph" w:customStyle="1" w:styleId="20">
    <w:name w:val="页脚1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21">
    <w:name w:val="页眉1"/>
    <w:basedOn w:val="1"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22">
    <w:name w:val="普通(网站)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customStyle="1" w:styleId="23">
    <w:name w:val="正文首行缩进1"/>
    <w:basedOn w:val="17"/>
    <w:qFormat/>
    <w:uiPriority w:val="0"/>
    <w:pPr>
      <w:ind w:firstLine="420" w:firstLineChars="100"/>
    </w:pPr>
  </w:style>
  <w:style w:type="paragraph" w:customStyle="1" w:styleId="24">
    <w:name w:val="正文首行缩进 21"/>
    <w:basedOn w:val="18"/>
    <w:qFormat/>
    <w:uiPriority w:val="0"/>
    <w:pPr>
      <w:ind w:firstLine="420" w:firstLineChars="200"/>
    </w:pPr>
  </w:style>
  <w:style w:type="table" w:customStyle="1" w:styleId="25">
    <w:name w:val="网格型1"/>
    <w:basedOn w:val="15"/>
    <w:qFormat/>
    <w:uiPriority w:val="0"/>
    <w:pPr>
      <w:widowControl w:val="0"/>
      <w:jc w:val="both"/>
    </w:pPr>
  </w:style>
  <w:style w:type="character" w:customStyle="1" w:styleId="26">
    <w:name w:val="页码1"/>
    <w:basedOn w:val="14"/>
    <w:link w:val="1"/>
    <w:qFormat/>
    <w:uiPriority w:val="0"/>
  </w:style>
  <w:style w:type="character" w:customStyle="1" w:styleId="27">
    <w:name w:val="超链接1"/>
    <w:basedOn w:val="14"/>
    <w:link w:val="1"/>
    <w:qFormat/>
    <w:uiPriority w:val="0"/>
    <w:rPr>
      <w:color w:val="0000FF"/>
      <w:u w:val="single"/>
    </w:rPr>
  </w:style>
  <w:style w:type="paragraph" w:customStyle="1" w:styleId="28">
    <w:name w:val="无间隔1"/>
    <w:qFormat/>
    <w:uiPriority w:val="0"/>
    <w:pPr>
      <w:widowControl w:val="0"/>
      <w:jc w:val="both"/>
    </w:pPr>
    <w:rPr>
      <w:rFonts w:ascii="宋体" w:hAnsi="宋体" w:eastAsia="仿宋_GB2312" w:cs="Times New Roman"/>
      <w:kern w:val="2"/>
      <w:sz w:val="32"/>
      <w:szCs w:val="22"/>
      <w:lang w:val="en-US" w:eastAsia="zh-CN" w:bidi="ar-SA"/>
    </w:rPr>
  </w:style>
  <w:style w:type="paragraph" w:customStyle="1" w:styleId="29">
    <w:name w:val="List Paragraph"/>
    <w:basedOn w:val="1"/>
    <w:qFormat/>
    <w:uiPriority w:val="0"/>
    <w:pPr>
      <w:ind w:firstLine="420" w:firstLineChars="200"/>
    </w:pPr>
  </w:style>
  <w:style w:type="paragraph" w:customStyle="1" w:styleId="30">
    <w:name w:val="BodyTextIndent"/>
    <w:basedOn w:val="1"/>
    <w:qFormat/>
    <w:uiPriority w:val="0"/>
    <w:pPr>
      <w:spacing w:line="360" w:lineRule="auto"/>
      <w:ind w:firstLine="200" w:firstLineChars="200"/>
      <w:jc w:val="both"/>
    </w:pPr>
    <w:rPr>
      <w:rFonts w:ascii="Calibri" w:hAnsi="Calibri" w:eastAsia="宋体"/>
      <w:kern w:val="2"/>
      <w:sz w:val="24"/>
      <w:szCs w:val="24"/>
      <w:lang w:val="en-US" w:eastAsia="zh-CN" w:bidi="ar-SA"/>
    </w:rPr>
  </w:style>
  <w:style w:type="paragraph" w:customStyle="1" w:styleId="31">
    <w:name w:val="纯文本1"/>
    <w:qFormat/>
    <w:uiPriority w:val="0"/>
    <w:rPr>
      <w:rFonts w:ascii="宋体" w:hAnsi="Courier New" w:eastAsia="宋体" w:cs="Times New Roman"/>
      <w:sz w:val="21"/>
      <w:szCs w:val="22"/>
      <w:lang w:val="en-US" w:eastAsia="zh-CN" w:bidi="ar-SA"/>
    </w:rPr>
  </w:style>
  <w:style w:type="paragraph" w:customStyle="1" w:styleId="32">
    <w:name w:val="列出段落1"/>
    <w:basedOn w:val="1"/>
    <w:qFormat/>
    <w:uiPriority w:val="0"/>
    <w:pPr>
      <w:ind w:firstLine="420" w:firstLineChars="200"/>
    </w:pPr>
  </w:style>
  <w:style w:type="paragraph" w:customStyle="1" w:styleId="33">
    <w:name w:val="BodyText1I2"/>
    <w:basedOn w:val="30"/>
    <w:qFormat/>
    <w:uiPriority w:val="0"/>
    <w:pPr>
      <w:spacing w:line="360" w:lineRule="auto"/>
      <w:ind w:firstLine="420" w:firstLineChars="200"/>
      <w:jc w:val="both"/>
    </w:pPr>
  </w:style>
  <w:style w:type="character" w:customStyle="1" w:styleId="34">
    <w:name w:val="apple-style-span"/>
    <w:basedOn w:val="1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2572</Words>
  <Characters>2624</Characters>
  <Lines>0</Lines>
  <Paragraphs>0</Paragraphs>
  <TotalTime>7</TotalTime>
  <ScaleCrop>false</ScaleCrop>
  <LinksUpToDate>false</LinksUpToDate>
  <CharactersWithSpaces>2693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2024-06-27T01:23:00Z</dcterms:created>
  <dc:creator>Administrator</dc:creator>
  <cp:lastModifiedBy>傻里傻气 糊里糊涂</cp:lastModifiedBy>
  <cp:lastPrinted>2025-08-08T06:45:00Z</cp:lastPrinted>
  <dcterms:modified xsi:type="dcterms:W3CDTF">2025-10-28T08:36:07Z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9FF864F7CEF14BDAA5A6856A228FDD8B_13</vt:lpwstr>
  </property>
  <property fmtid="{D5CDD505-2E9C-101B-9397-08002B2CF9AE}" pid="4" name="KSOTemplateDocerSaveRecord">
    <vt:lpwstr>eyJoZGlkIjoiNzg1OTYwMDMzOTMzMjFlMDZkZDcyNTljOGY5Y2E2ZDciLCJ1c2VySWQiOiI0MjAyMDEwMTkifQ==</vt:lpwstr>
  </property>
</Properties>
</file>