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AB970A">
      <w:pPr>
        <w:keepNext w:val="0"/>
        <w:keepLines w:val="0"/>
        <w:pageBreakBefore w:val="0"/>
        <w:kinsoku/>
        <w:wordWrap/>
        <w:overflowPunct/>
        <w:topLinePunct w:val="0"/>
        <w:bidi w:val="0"/>
        <w:spacing w:line="460" w:lineRule="exact"/>
        <w:ind w:firstLine="1760" w:firstLineChars="400"/>
        <w:jc w:val="both"/>
        <w:textAlignment w:val="auto"/>
        <w:outlineLvl w:val="0"/>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bCs/>
          <w:color w:val="auto"/>
          <w:sz w:val="44"/>
          <w:szCs w:val="44"/>
          <w:u w:val="none"/>
          <w:lang w:eastAsia="zh-CN"/>
        </w:rPr>
        <w:t>平山县</w:t>
      </w:r>
      <w:r>
        <w:rPr>
          <w:rFonts w:hint="eastAsia" w:ascii="方正小标宋简体" w:hAnsi="方正小标宋简体" w:eastAsia="方正小标宋简体" w:cs="方正小标宋简体"/>
          <w:bCs/>
          <w:color w:val="auto"/>
          <w:sz w:val="44"/>
          <w:szCs w:val="44"/>
        </w:rPr>
        <w:t>市场监督管理局</w:t>
      </w:r>
    </w:p>
    <w:p w14:paraId="044E01E1">
      <w:pPr>
        <w:keepNext w:val="0"/>
        <w:keepLines w:val="0"/>
        <w:pageBreakBefore w:val="0"/>
        <w:kinsoku/>
        <w:wordWrap/>
        <w:overflowPunct/>
        <w:topLinePunct w:val="0"/>
        <w:bidi w:val="0"/>
        <w:spacing w:line="460" w:lineRule="exact"/>
        <w:jc w:val="center"/>
        <w:textAlignment w:val="auto"/>
        <w:outlineLvl w:val="0"/>
        <w:rPr>
          <w:rFonts w:ascii="Times New Roman" w:hAnsi="Times New Roman" w:eastAsia="方正小标宋简体" w:cs="Mongolian Baiti"/>
          <w:bCs/>
          <w:color w:val="auto"/>
          <w:sz w:val="44"/>
          <w:szCs w:val="44"/>
        </w:rPr>
      </w:pPr>
      <w:bookmarkStart w:id="0" w:name="_Toc76683364"/>
      <w:r>
        <w:rPr>
          <w:rFonts w:ascii="Times New Roman" w:hAnsi="Mongolian Baiti" w:eastAsia="方正小标宋简体" w:cs="Mongolian Baiti"/>
          <w:bCs/>
          <w:color w:val="auto"/>
          <w:sz w:val="44"/>
          <w:szCs w:val="44"/>
        </w:rPr>
        <w:t>行政处罚决定书</w:t>
      </w:r>
      <w:bookmarkEnd w:id="0"/>
    </w:p>
    <w:p w14:paraId="26774291">
      <w:pPr>
        <w:keepNext w:val="0"/>
        <w:keepLines w:val="0"/>
        <w:pageBreakBefore w:val="0"/>
        <w:widowControl/>
        <w:kinsoku/>
        <w:wordWrap/>
        <w:overflowPunct/>
        <w:topLinePunct w:val="0"/>
        <w:bidi w:val="0"/>
        <w:snapToGrid w:val="0"/>
        <w:spacing w:line="460" w:lineRule="exact"/>
        <w:ind w:right="55"/>
        <w:jc w:val="center"/>
        <w:textAlignment w:val="auto"/>
        <w:outlineLvl w:val="1"/>
        <w:rPr>
          <w:rFonts w:hint="eastAsia" w:ascii="Times New Roman" w:hAnsi="仿宋_GB2312" w:eastAsia="仿宋_GB2312" w:cs="仿宋_GB2312"/>
          <w:bCs/>
          <w:color w:val="auto"/>
          <w:sz w:val="32"/>
          <w:szCs w:val="32"/>
          <w:lang w:eastAsia="zh-CN"/>
        </w:rPr>
      </w:pPr>
      <w:r>
        <w:rPr>
          <w:rFonts w:hint="eastAsia" w:ascii="Times New Roman" w:hAnsi="Times New Roman" w:eastAsia="仿宋_GB2312" w:cs="仿宋_GB2312"/>
          <w:bCs/>
          <w:color w:val="auto"/>
          <w:sz w:val="32"/>
          <w:szCs w:val="32"/>
          <w:u w:val="single"/>
          <w:lang w:eastAsia="zh-CN"/>
        </w:rPr>
        <w:t>平</w:t>
      </w:r>
      <w:r>
        <w:rPr>
          <w:rFonts w:hint="eastAsia" w:ascii="Times New Roman" w:hAnsi="仿宋_GB2312" w:eastAsia="仿宋_GB2312" w:cs="仿宋_GB2312"/>
          <w:bCs/>
          <w:color w:val="auto"/>
          <w:sz w:val="32"/>
          <w:szCs w:val="32"/>
        </w:rPr>
        <w:t>市监处罚</w:t>
      </w:r>
      <w:r>
        <w:rPr>
          <w:rFonts w:hint="eastAsia" w:ascii="Times New Roman" w:hAnsi="仿宋_GB2312" w:eastAsia="仿宋_GB2312" w:cs="仿宋_GB2312"/>
          <w:bCs/>
          <w:color w:val="auto"/>
          <w:sz w:val="32"/>
          <w:szCs w:val="32"/>
          <w:lang w:eastAsia="zh-CN"/>
        </w:rPr>
        <w:t>〔2025〕048号</w:t>
      </w:r>
    </w:p>
    <w:p w14:paraId="5ECCDFB3">
      <w:pPr>
        <w:keepNext w:val="0"/>
        <w:keepLines w:val="0"/>
        <w:pageBreakBefore w:val="0"/>
        <w:widowControl/>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rPr>
      </w:pPr>
    </w:p>
    <w:p w14:paraId="718334E8">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u w:color="auto"/>
        </w:rPr>
      </w:pPr>
      <w:r>
        <w:rPr>
          <w:rFonts w:hint="eastAsia" w:ascii="仿宋" w:hAnsi="仿宋" w:eastAsia="仿宋" w:cs="仿宋"/>
          <w:color w:val="auto"/>
          <w:sz w:val="32"/>
          <w:szCs w:val="32"/>
          <w:u w:color="auto"/>
        </w:rPr>
        <w:t>当事人：</w:t>
      </w:r>
      <w:r>
        <w:rPr>
          <w:rFonts w:hint="eastAsia" w:ascii="仿宋" w:hAnsi="仿宋" w:eastAsia="仿宋" w:cs="仿宋"/>
          <w:color w:val="auto"/>
          <w:sz w:val="32"/>
          <w:szCs w:val="32"/>
          <w:u w:color="auto"/>
          <w:lang w:val="en-US" w:eastAsia="zh-CN"/>
        </w:rPr>
        <w:t>平山县七汲食品制造厂</w:t>
      </w:r>
      <w:bookmarkStart w:id="1" w:name="_GoBack"/>
      <w:bookmarkEnd w:id="1"/>
      <w:r>
        <w:rPr>
          <w:rFonts w:hint="eastAsia" w:ascii="仿宋" w:hAnsi="仿宋" w:eastAsia="仿宋" w:cs="仿宋"/>
          <w:color w:val="auto"/>
          <w:sz w:val="32"/>
          <w:szCs w:val="32"/>
          <w:u w:color="auto"/>
          <w:lang w:val="en-US" w:eastAsia="zh-CN"/>
        </w:rPr>
        <w:t xml:space="preserve">                           </w:t>
      </w:r>
    </w:p>
    <w:p w14:paraId="258F7F21">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u w:color="auto"/>
        </w:rPr>
      </w:pPr>
      <w:r>
        <w:rPr>
          <w:rFonts w:hint="eastAsia" w:ascii="仿宋" w:hAnsi="仿宋" w:eastAsia="仿宋" w:cs="仿宋"/>
          <w:color w:val="auto"/>
          <w:sz w:val="32"/>
          <w:szCs w:val="32"/>
          <w:u w:color="auto"/>
        </w:rPr>
        <w:t>主体资格证照名称：营业执照</w:t>
      </w:r>
      <w:r>
        <w:rPr>
          <w:rFonts w:hint="eastAsia" w:ascii="仿宋" w:hAnsi="仿宋" w:eastAsia="仿宋" w:cs="仿宋"/>
          <w:color w:val="auto"/>
          <w:sz w:val="32"/>
          <w:szCs w:val="32"/>
          <w:u w:color="auto"/>
          <w:lang w:val="en-US" w:eastAsia="zh-CN"/>
        </w:rPr>
        <w:t xml:space="preserve">                             </w:t>
      </w:r>
    </w:p>
    <w:p w14:paraId="0B5C38B0">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u w:color="auto"/>
        </w:rPr>
      </w:pPr>
      <w:r>
        <w:rPr>
          <w:rFonts w:hint="eastAsia" w:ascii="仿宋" w:hAnsi="仿宋" w:eastAsia="仿宋" w:cs="仿宋"/>
          <w:color w:val="auto"/>
          <w:sz w:val="32"/>
          <w:szCs w:val="32"/>
          <w:u w:color="auto"/>
        </w:rPr>
        <w:t>统一社会信用代码：</w:t>
      </w:r>
      <w:r>
        <w:rPr>
          <w:rFonts w:hint="eastAsia" w:ascii="仿宋" w:hAnsi="仿宋" w:eastAsia="仿宋" w:cs="仿宋"/>
          <w:color w:val="auto"/>
          <w:sz w:val="32"/>
          <w:szCs w:val="32"/>
          <w:u w:color="auto"/>
          <w:lang w:val="en-US" w:eastAsia="zh-CN"/>
        </w:rPr>
        <w:t xml:space="preserve">92130131MA7DC9TD2T                      </w:t>
      </w:r>
    </w:p>
    <w:p w14:paraId="4FFE05CF">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u w:color="auto"/>
          <w:lang w:eastAsia="zh-CN"/>
        </w:rPr>
      </w:pPr>
      <w:r>
        <w:rPr>
          <w:rFonts w:hint="eastAsia" w:ascii="仿宋" w:hAnsi="仿宋" w:eastAsia="仿宋" w:cs="仿宋"/>
          <w:color w:val="auto"/>
          <w:sz w:val="32"/>
          <w:szCs w:val="32"/>
          <w:u w:color="auto"/>
        </w:rPr>
        <w:t>住所（住址）</w:t>
      </w:r>
      <w:r>
        <w:rPr>
          <w:rFonts w:hint="eastAsia" w:ascii="仿宋" w:hAnsi="仿宋" w:eastAsia="仿宋" w:cs="仿宋"/>
          <w:color w:val="auto"/>
          <w:sz w:val="32"/>
          <w:szCs w:val="32"/>
          <w:u w:color="auto"/>
          <w:lang w:eastAsia="zh-CN"/>
        </w:rPr>
        <w:t>：</w:t>
      </w:r>
      <w:r>
        <w:rPr>
          <w:rFonts w:hint="eastAsia" w:ascii="仿宋" w:hAnsi="仿宋" w:eastAsia="仿宋" w:cs="仿宋"/>
          <w:color w:val="auto"/>
          <w:sz w:val="32"/>
          <w:szCs w:val="32"/>
          <w:u w:color="auto"/>
          <w:lang w:val="en-US" w:eastAsia="zh-CN"/>
        </w:rPr>
        <w:t xml:space="preserve">***                                      </w:t>
      </w:r>
    </w:p>
    <w:p w14:paraId="398973ED">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0" w:firstLineChars="0"/>
        <w:jc w:val="both"/>
        <w:textAlignment w:val="auto"/>
        <w:outlineLvl w:val="9"/>
        <w:rPr>
          <w:rFonts w:hint="eastAsia" w:ascii="仿宋" w:hAnsi="仿宋" w:eastAsia="仿宋" w:cs="仿宋"/>
          <w:color w:val="auto"/>
          <w:sz w:val="32"/>
          <w:szCs w:val="32"/>
          <w:u w:color="auto"/>
        </w:rPr>
      </w:pPr>
      <w:r>
        <w:rPr>
          <w:rFonts w:hint="eastAsia" w:ascii="仿宋" w:hAnsi="仿宋" w:eastAsia="仿宋" w:cs="仿宋"/>
          <w:color w:val="auto"/>
          <w:sz w:val="32"/>
          <w:szCs w:val="32"/>
          <w:u w:color="auto"/>
        </w:rPr>
        <w:t>经营者：</w:t>
      </w:r>
      <w:r>
        <w:rPr>
          <w:rFonts w:hint="eastAsia" w:ascii="仿宋" w:hAnsi="仿宋" w:eastAsia="仿宋" w:cs="仿宋"/>
          <w:color w:val="auto"/>
          <w:sz w:val="32"/>
          <w:szCs w:val="32"/>
          <w:u w:color="auto"/>
          <w:lang w:val="en-US" w:eastAsia="zh-CN"/>
        </w:rPr>
        <w:t xml:space="preserve">*** </w:t>
      </w:r>
      <w:r>
        <w:rPr>
          <w:rFonts w:hint="eastAsia" w:ascii="仿宋" w:hAnsi="仿宋" w:eastAsia="仿宋" w:cs="仿宋"/>
          <w:color w:val="auto"/>
          <w:sz w:val="32"/>
          <w:szCs w:val="32"/>
          <w:u w:color="auto"/>
        </w:rPr>
        <w:t>身份证件号码：</w:t>
      </w:r>
      <w:r>
        <w:rPr>
          <w:rFonts w:hint="eastAsia" w:ascii="仿宋" w:hAnsi="仿宋" w:eastAsia="仿宋" w:cs="仿宋"/>
          <w:color w:val="auto"/>
          <w:sz w:val="32"/>
          <w:szCs w:val="32"/>
          <w:u w:color="auto"/>
          <w:lang w:val="en-US" w:eastAsia="zh-CN"/>
        </w:rPr>
        <w:t xml:space="preserve">***                </w:t>
      </w:r>
    </w:p>
    <w:p w14:paraId="1C662F53">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kern w:val="2"/>
          <w:sz w:val="32"/>
          <w:szCs w:val="32"/>
          <w:u w:color="auto"/>
          <w:lang w:val="en-US" w:eastAsia="zh-CN" w:bidi="ar-SA"/>
        </w:rPr>
        <w:t>2025年9月2日，执法人员对当事人经营场所进行了现场检查。检查发现当事人加工灌肠的小作坊存放有</w:t>
      </w:r>
      <w:r>
        <w:rPr>
          <w:rFonts w:hint="eastAsia" w:ascii="仿宋" w:hAnsi="仿宋" w:eastAsia="仿宋" w:cs="黑体"/>
          <w:b w:val="0"/>
          <w:bCs w:val="0"/>
          <w:color w:val="auto"/>
          <w:sz w:val="32"/>
          <w:szCs w:val="32"/>
          <w:u w:color="auto"/>
          <w:lang w:val="en-US" w:eastAsia="zh-CN"/>
        </w:rPr>
        <w:t>猪肉、鸡肉、、淀粉、芝麻香油、葱、鲜姜、食用盐、山梨酸钾、双乙酸钠、复配防腐剂V1号、香辛料；以上所有配料均能提供供货商资质。本案未采取强制措施。</w:t>
      </w:r>
      <w:r>
        <w:rPr>
          <w:rFonts w:hint="eastAsia" w:ascii="仿宋" w:hAnsi="仿宋" w:eastAsia="仿宋" w:cs="仿宋"/>
          <w:kern w:val="2"/>
          <w:sz w:val="32"/>
          <w:szCs w:val="32"/>
          <w:u w:color="auto"/>
          <w:lang w:val="en-US" w:eastAsia="zh-CN" w:bidi="ar-SA"/>
        </w:rPr>
        <w:t xml:space="preserve"> 2025年9月2日我局执法人员对当事人送达了检验报告，编号：</w:t>
      </w:r>
      <w:r>
        <w:rPr>
          <w:rFonts w:hint="eastAsia" w:ascii="仿宋" w:hAnsi="仿宋" w:eastAsia="仿宋" w:cs="仿宋"/>
          <w:b w:val="0"/>
          <w:bCs w:val="0"/>
          <w:color w:val="auto"/>
          <w:sz w:val="32"/>
          <w:szCs w:val="32"/>
          <w:u w:color="auto"/>
          <w:lang w:val="en-US" w:eastAsia="zh-CN"/>
        </w:rPr>
        <w:t>No:QNSP2025080052；</w:t>
      </w:r>
      <w:r>
        <w:rPr>
          <w:rFonts w:hint="eastAsia" w:ascii="仿宋" w:hAnsi="仿宋" w:eastAsia="仿宋"/>
          <w:color w:val="auto"/>
          <w:sz w:val="32"/>
          <w:szCs w:val="32"/>
          <w:u w:color="auto"/>
          <w:lang w:val="en-US" w:eastAsia="zh-CN"/>
        </w:rPr>
        <w:t>检验结论为：经抽样检验，山梨酸及其钾盐（以山梨酸计）项目不符合GB2760-2024《食品安全国家标准食品添加剂使用标准》要求，检验结论为不合格。当事人未提出复检申请，2025年9月11日，我局予以立案。</w:t>
      </w:r>
      <w:r>
        <w:rPr>
          <w:rFonts w:hint="eastAsia" w:ascii="仿宋" w:hAnsi="仿宋" w:eastAsia="仿宋" w:cs="仿宋"/>
          <w:color w:val="auto"/>
          <w:sz w:val="32"/>
          <w:szCs w:val="32"/>
          <w:u w:color="auto"/>
          <w:lang w:val="en-US" w:eastAsia="zh-CN"/>
        </w:rPr>
        <w:t xml:space="preserve">                                 </w:t>
      </w:r>
      <w:r>
        <w:rPr>
          <w:rFonts w:hint="eastAsia" w:ascii="仿宋" w:hAnsi="仿宋" w:eastAsia="仿宋" w:cs="仿宋"/>
          <w:color w:val="auto"/>
          <w:sz w:val="32"/>
          <w:szCs w:val="32"/>
          <w:u w:color="auto"/>
        </w:rPr>
        <w:t xml:space="preserve">                     </w:t>
      </w:r>
      <w:r>
        <w:rPr>
          <w:rFonts w:hint="eastAsia" w:ascii="仿宋" w:hAnsi="仿宋" w:eastAsia="仿宋" w:cs="仿宋"/>
          <w:color w:val="auto"/>
          <w:sz w:val="32"/>
          <w:szCs w:val="32"/>
          <w:u w:color="auto"/>
          <w:lang w:val="en-US" w:eastAsia="zh-CN"/>
        </w:rPr>
        <w:t xml:space="preserve">                                    </w:t>
      </w:r>
    </w:p>
    <w:p w14:paraId="6702A497">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rPr>
      </w:pPr>
      <w:r>
        <w:rPr>
          <w:rFonts w:hint="eastAsia" w:ascii="仿宋" w:hAnsi="仿宋" w:eastAsia="仿宋" w:cs="仿宋"/>
          <w:color w:val="auto"/>
          <w:sz w:val="32"/>
          <w:szCs w:val="32"/>
          <w:u w:color="auto"/>
        </w:rPr>
        <w:t>通过现场检查、对当事人的询问调查，及</w:t>
      </w:r>
      <w:r>
        <w:rPr>
          <w:rFonts w:hint="eastAsia" w:ascii="仿宋" w:hAnsi="仿宋" w:eastAsia="仿宋" w:cs="仿宋"/>
          <w:color w:val="auto"/>
          <w:sz w:val="32"/>
          <w:szCs w:val="32"/>
          <w:u w:color="auto"/>
          <w:lang w:eastAsia="zh-CN"/>
        </w:rPr>
        <w:t>当事人</w:t>
      </w:r>
      <w:r>
        <w:rPr>
          <w:rFonts w:hint="eastAsia" w:ascii="仿宋" w:hAnsi="仿宋" w:eastAsia="仿宋" w:cs="仿宋"/>
          <w:color w:val="auto"/>
          <w:sz w:val="32"/>
          <w:szCs w:val="32"/>
          <w:u w:color="auto"/>
        </w:rPr>
        <w:t>提供的相关材料，本局已查明案件事实。</w:t>
      </w:r>
      <w:r>
        <w:rPr>
          <w:rFonts w:hint="eastAsia" w:ascii="仿宋" w:hAnsi="仿宋" w:eastAsia="仿宋" w:cs="仿宋"/>
          <w:color w:val="auto"/>
          <w:sz w:val="32"/>
          <w:szCs w:val="32"/>
          <w:u w:color="auto"/>
          <w:lang w:val="en-US" w:eastAsia="zh-CN"/>
        </w:rPr>
        <w:t xml:space="preserve">                        </w:t>
      </w:r>
    </w:p>
    <w:p w14:paraId="3ADEE1F7">
      <w:pPr>
        <w:keepNext w:val="0"/>
        <w:keepLines w:val="0"/>
        <w:pageBreakBefore w:val="0"/>
        <w:widowControl w:val="0"/>
        <w:kinsoku/>
        <w:wordWrap/>
        <w:overflowPunct/>
        <w:topLinePunct w:val="0"/>
        <w:autoSpaceDE/>
        <w:autoSpaceDN/>
        <w:bidi w:val="0"/>
        <w:adjustRightInd/>
        <w:snapToGrid/>
        <w:spacing w:line="460" w:lineRule="exact"/>
        <w:ind w:left="0" w:leftChars="0" w:right="0" w:rightChars="0" w:firstLine="640" w:firstLineChars="200"/>
        <w:jc w:val="left"/>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color w:val="auto"/>
          <w:sz w:val="32"/>
          <w:szCs w:val="32"/>
          <w:u w:color="auto"/>
        </w:rPr>
        <w:t>调查认定的事实：</w:t>
      </w:r>
      <w:r>
        <w:rPr>
          <w:rFonts w:hint="eastAsia" w:ascii="仿宋" w:hAnsi="仿宋" w:eastAsia="仿宋"/>
          <w:color w:val="auto"/>
          <w:sz w:val="32"/>
          <w:szCs w:val="32"/>
          <w:lang w:val="en-US" w:eastAsia="zh-CN"/>
        </w:rPr>
        <w:t>2025年8月1日河北奇诺检测有限公司对平山县七汲视食品制造厂生产的灌肠进行抽样检验，其生产的灌肠山梨酸及其钾盐（以山梨酸计）项目不符合GB 2760-2024《食品安全国家标准 食品添加剂使用标准》要求，检验结论为不合格。</w:t>
      </w:r>
      <w:r>
        <w:rPr>
          <w:rFonts w:hint="eastAsia" w:ascii="仿宋" w:hAnsi="仿宋" w:eastAsia="仿宋" w:cs="仿宋"/>
          <w:color w:val="auto"/>
          <w:kern w:val="2"/>
          <w:sz w:val="32"/>
          <w:szCs w:val="32"/>
          <w:lang w:val="en-US" w:eastAsia="zh-CN" w:bidi="ar-SA"/>
        </w:rPr>
        <w:t>当事人对检验结果无异议，未申请复检。</w:t>
      </w:r>
      <w:r>
        <w:rPr>
          <w:rFonts w:hint="eastAsia" w:ascii="仿宋" w:hAnsi="仿宋" w:eastAsia="仿宋" w:cs="黑体"/>
          <w:b w:val="0"/>
          <w:bCs w:val="0"/>
          <w:color w:val="auto"/>
          <w:sz w:val="32"/>
          <w:szCs w:val="32"/>
          <w:lang w:val="en-US" w:eastAsia="zh-CN"/>
        </w:rPr>
        <w:t xml:space="preserve">   </w:t>
      </w:r>
      <w:r>
        <w:rPr>
          <w:rFonts w:hint="eastAsia" w:ascii="仿宋" w:hAnsi="仿宋" w:eastAsia="仿宋" w:cs="黑体"/>
          <w:b w:val="0"/>
          <w:bCs w:val="0"/>
          <w:color w:val="0000FF"/>
          <w:sz w:val="32"/>
          <w:szCs w:val="32"/>
          <w:lang w:val="en-US" w:eastAsia="zh-CN"/>
        </w:rPr>
        <w:t xml:space="preserve">   </w:t>
      </w:r>
      <w:r>
        <w:rPr>
          <w:rFonts w:hint="eastAsia" w:ascii="仿宋" w:hAnsi="仿宋" w:eastAsia="仿宋" w:cs="黑体"/>
          <w:b w:val="0"/>
          <w:bCs w:val="0"/>
          <w:color w:val="auto"/>
          <w:sz w:val="32"/>
          <w:szCs w:val="32"/>
          <w:lang w:val="en-US" w:eastAsia="zh-CN"/>
        </w:rPr>
        <w:t xml:space="preserve">       </w:t>
      </w:r>
      <w:r>
        <w:rPr>
          <w:rFonts w:hint="eastAsia" w:ascii="仿宋" w:hAnsi="仿宋" w:eastAsia="仿宋" w:cs="仿宋"/>
          <w:b w:val="0"/>
          <w:bCs w:val="0"/>
          <w:color w:val="auto"/>
          <w:sz w:val="32"/>
          <w:szCs w:val="32"/>
          <w:lang w:val="en-US" w:eastAsia="zh-CN"/>
        </w:rPr>
        <w:t xml:space="preserve">                                           </w:t>
      </w:r>
    </w:p>
    <w:p w14:paraId="136D2722">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 w:hAnsi="仿宋" w:eastAsia="仿宋" w:cs="仿宋"/>
          <w:kern w:val="2"/>
          <w:sz w:val="32"/>
          <w:szCs w:val="32"/>
          <w:lang w:val="en-US" w:eastAsia="zh-CN" w:bidi="ar-SA"/>
        </w:rPr>
      </w:pPr>
    </w:p>
    <w:p w14:paraId="1F3FFC1C">
      <w:pPr>
        <w:keepNext w:val="0"/>
        <w:keepLines w:val="0"/>
        <w:pageBreakBefore w:val="0"/>
        <w:widowControl w:val="0"/>
        <w:kinsoku/>
        <w:wordWrap/>
        <w:overflowPunct/>
        <w:topLinePunct w:val="0"/>
        <w:autoSpaceDE/>
        <w:autoSpaceDN/>
        <w:bidi w:val="0"/>
        <w:adjustRightInd/>
        <w:snapToGrid/>
        <w:spacing w:line="520" w:lineRule="exact"/>
        <w:ind w:right="0" w:rightChars="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经询问：该批次灌肠共生产56根，每根3斤，成本价4.5元一根，售价是每根15元，每根灌肠获利10.5元。共计获利588元。该批次生产的灌肠已全部售完。截止调查终结之日，没有收到因食用不合格灌肠引起的不良反应报告。</w:t>
      </w:r>
    </w:p>
    <w:p w14:paraId="7464F55D">
      <w:pPr>
        <w:pStyle w:val="3"/>
        <w:keepNext w:val="0"/>
        <w:keepLines w:val="0"/>
        <w:pageBreakBefore w:val="0"/>
        <w:widowControl/>
        <w:shd w:val="clear" w:color="auto" w:fill="FFFFFF"/>
        <w:kinsoku/>
        <w:wordWrap w:val="0"/>
        <w:overflowPunct/>
        <w:topLinePunct w:val="0"/>
        <w:autoSpaceDE/>
        <w:autoSpaceDN/>
        <w:bidi w:val="0"/>
        <w:adjustRightInd/>
        <w:snapToGrid/>
        <w:spacing w:before="0" w:beforeAutospacing="0" w:after="0" w:afterAutospacing="0" w:line="520" w:lineRule="exact"/>
        <w:ind w:left="0" w:leftChars="0" w:right="0" w:rightChars="0"/>
        <w:jc w:val="left"/>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color w:val="0000FF"/>
          <w:kern w:val="2"/>
          <w:sz w:val="32"/>
          <w:szCs w:val="32"/>
          <w:lang w:val="en-US" w:eastAsia="zh-CN" w:bidi="ar-SA"/>
        </w:rPr>
        <w:t xml:space="preserve">    </w:t>
      </w:r>
      <w:r>
        <w:rPr>
          <w:rFonts w:hint="eastAsia" w:ascii="仿宋" w:hAnsi="仿宋" w:eastAsia="仿宋" w:cs="仿宋"/>
          <w:kern w:val="2"/>
          <w:sz w:val="32"/>
          <w:szCs w:val="32"/>
          <w:lang w:val="en-US" w:eastAsia="zh-CN" w:bidi="ar-SA"/>
        </w:rPr>
        <w:t xml:space="preserve">上述事实，主要有以下证据证明：                  </w:t>
      </w:r>
    </w:p>
    <w:p w14:paraId="6C41EEC0">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200" w:right="0" w:rightChars="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1、当事人提供的营业执照复印件1份、食品小作坊小餐饮登记证复印件1份、食品从业人员健康证明复印件1份，证明当事人的主体资格及经营资格。                       </w:t>
      </w:r>
    </w:p>
    <w:p w14:paraId="471D6941">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200" w:right="0" w:rightChars="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2、经营者身份证复印件1份，证明当事人主体资格。</w:t>
      </w:r>
    </w:p>
    <w:p w14:paraId="59AF19CB">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Chars="200" w:right="0" w:rightChars="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color w:val="auto"/>
          <w:kern w:val="2"/>
          <w:sz w:val="32"/>
          <w:szCs w:val="32"/>
          <w:lang w:val="en-US" w:eastAsia="zh-CN" w:bidi="ar-SA"/>
        </w:rPr>
        <w:t>3、现场笔录1份、询问笔录1份、现场照片2张、送达回证1份，检验报告（</w:t>
      </w:r>
      <w:r>
        <w:rPr>
          <w:rFonts w:hint="eastAsia" w:ascii="仿宋" w:hAnsi="仿宋" w:eastAsia="仿宋" w:cs="仿宋"/>
          <w:color w:val="auto"/>
          <w:sz w:val="32"/>
          <w:szCs w:val="32"/>
          <w:lang w:val="en-US" w:eastAsia="zh-CN"/>
        </w:rPr>
        <w:t>NO:QNSP2025080052</w:t>
      </w:r>
      <w:r>
        <w:rPr>
          <w:rFonts w:hint="eastAsia" w:ascii="仿宋" w:hAnsi="仿宋" w:eastAsia="仿宋" w:cs="仿宋"/>
          <w:color w:val="auto"/>
          <w:kern w:val="2"/>
          <w:sz w:val="32"/>
          <w:szCs w:val="32"/>
          <w:lang w:val="en-US" w:eastAsia="zh-CN" w:bidi="ar-SA"/>
        </w:rPr>
        <w:t>）复印件1份。</w:t>
      </w:r>
      <w:r>
        <w:rPr>
          <w:rFonts w:hint="eastAsia" w:ascii="仿宋" w:hAnsi="仿宋" w:eastAsia="仿宋" w:cs="仿宋"/>
          <w:kern w:val="2"/>
          <w:sz w:val="32"/>
          <w:szCs w:val="32"/>
          <w:lang w:val="en-US" w:eastAsia="zh-CN" w:bidi="ar-SA"/>
        </w:rPr>
        <w:t xml:space="preserve">                      </w:t>
      </w:r>
    </w:p>
    <w:p w14:paraId="097C574E">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4、当事人发布的不合格食品召回公告1份、整改报告1份，证明当事人采取召回不合格食品的措施。</w:t>
      </w:r>
    </w:p>
    <w:p w14:paraId="12405F52">
      <w:pPr>
        <w:keepNext w:val="0"/>
        <w:keepLines w:val="0"/>
        <w:pageBreakBefore w:val="0"/>
        <w:widowControl w:val="0"/>
        <w:numPr>
          <w:ilvl w:val="0"/>
          <w:numId w:val="0"/>
        </w:numPr>
        <w:kinsoku/>
        <w:wordWrap/>
        <w:overflowPunct/>
        <w:topLinePunct w:val="0"/>
        <w:autoSpaceDE/>
        <w:autoSpaceDN/>
        <w:bidi w:val="0"/>
        <w:adjustRightInd/>
        <w:snapToGrid/>
        <w:spacing w:line="320" w:lineRule="exact"/>
        <w:ind w:leftChars="200" w:right="0" w:rightChars="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5、供货商营业执照、食品经营许可证及进货查验记录复印件各1份。</w:t>
      </w:r>
    </w:p>
    <w:p w14:paraId="7D87F8D2">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color w:val="auto"/>
          <w:kern w:val="2"/>
          <w:sz w:val="32"/>
          <w:szCs w:val="32"/>
          <w:lang w:val="en-US" w:eastAsia="zh-CN" w:bidi="ar-SA"/>
        </w:rPr>
        <w:t xml:space="preserve"> </w:t>
      </w:r>
      <w:r>
        <w:rPr>
          <w:rFonts w:hint="eastAsia" w:ascii="仿宋" w:hAnsi="仿宋" w:eastAsia="仿宋" w:cs="仿宋"/>
          <w:kern w:val="2"/>
          <w:sz w:val="32"/>
          <w:szCs w:val="32"/>
          <w:lang w:val="en-US" w:eastAsia="zh-CN" w:bidi="ar-SA"/>
        </w:rPr>
        <w:t xml:space="preserve">上述证据都经当事人签字确认。                    </w:t>
      </w:r>
      <w:r>
        <w:rPr>
          <w:rFonts w:hint="eastAsia" w:ascii="仿宋" w:hAnsi="仿宋" w:eastAsia="仿宋" w:cs="仿宋"/>
          <w:color w:val="auto"/>
          <w:sz w:val="32"/>
          <w:szCs w:val="32"/>
          <w:u w:color="auto"/>
          <w:lang w:val="en-US" w:eastAsia="zh-CN"/>
        </w:rPr>
        <w:t xml:space="preserve">             </w:t>
      </w:r>
    </w:p>
    <w:p w14:paraId="77B9CBC1">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color w:val="auto"/>
          <w:sz w:val="32"/>
          <w:szCs w:val="32"/>
          <w:u w:color="auto"/>
          <w:lang w:val="en-US" w:eastAsia="zh-CN"/>
        </w:rPr>
        <w:t xml:space="preserve">《中华人民共和国食品安全法》第三十四条第（四）项规定：“禁止生产经营下列食品、食品添加剂、食品相关产品：（四）超范围、超限量使用食品添加剂的食品；”。                                   </w:t>
      </w:r>
    </w:p>
    <w:p w14:paraId="68DFC824">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color w:val="auto"/>
          <w:sz w:val="32"/>
          <w:szCs w:val="32"/>
          <w:u w:color="auto"/>
          <w:lang w:val="en-US" w:eastAsia="zh-CN"/>
        </w:rPr>
        <w:t>《中华人民共和国食品安全法》第三十六条第三款规定：“食品生产加工小作坊和食品摊贩等的具体管理办法由省、自治区、直辖市制定”，因为当事人有食品小作坊小餐饮登记证，属于三小企业，</w:t>
      </w:r>
      <w:r>
        <w:rPr>
          <w:rFonts w:hint="eastAsia" w:ascii="仿宋" w:hAnsi="仿宋" w:eastAsia="仿宋" w:cs="仿宋"/>
          <w:color w:val="auto"/>
          <w:sz w:val="32"/>
          <w:szCs w:val="32"/>
          <w:highlight w:val="none"/>
          <w:u w:color="auto"/>
          <w:lang w:val="en-US" w:eastAsia="zh-CN"/>
        </w:rPr>
        <w:t>其生产加工的灌肠</w:t>
      </w:r>
      <w:r>
        <w:rPr>
          <w:rFonts w:hint="eastAsia" w:ascii="仿宋" w:hAnsi="仿宋" w:eastAsia="仿宋"/>
          <w:color w:val="auto"/>
          <w:sz w:val="32"/>
          <w:szCs w:val="32"/>
          <w:u w:color="auto"/>
          <w:lang w:val="en-US" w:eastAsia="zh-CN"/>
        </w:rPr>
        <w:t>山梨酸及其钾盐（以山梨酸计）</w:t>
      </w:r>
      <w:r>
        <w:rPr>
          <w:rFonts w:hint="eastAsia" w:ascii="仿宋" w:hAnsi="仿宋" w:eastAsia="仿宋" w:cs="仿宋"/>
          <w:kern w:val="2"/>
          <w:sz w:val="32"/>
          <w:szCs w:val="32"/>
          <w:u w:color="auto"/>
          <w:lang w:val="en-US" w:eastAsia="zh-CN" w:bidi="ar-SA"/>
        </w:rPr>
        <w:t>项目不符合GB 2760-2024《食品安全国家标准 食品添加剂使用标准》要求</w:t>
      </w:r>
      <w:r>
        <w:rPr>
          <w:rFonts w:hint="eastAsia" w:ascii="仿宋" w:hAnsi="仿宋" w:eastAsia="仿宋" w:cs="仿宋"/>
          <w:color w:val="auto"/>
          <w:sz w:val="32"/>
          <w:szCs w:val="32"/>
          <w:highlight w:val="none"/>
          <w:u w:color="auto"/>
          <w:lang w:val="en-US" w:eastAsia="zh-CN"/>
        </w:rPr>
        <w:t>的行为</w:t>
      </w:r>
      <w:r>
        <w:rPr>
          <w:rFonts w:hint="eastAsia" w:ascii="仿宋" w:hAnsi="仿宋" w:eastAsia="仿宋" w:cs="仿宋"/>
          <w:color w:val="auto"/>
          <w:sz w:val="32"/>
          <w:szCs w:val="32"/>
          <w:u w:color="auto"/>
          <w:lang w:val="en-US" w:eastAsia="zh-CN"/>
        </w:rPr>
        <w:t xml:space="preserve">，违反了《河北省食品小作坊小餐饮小摊点管理条例》第二十一条“小作坊不得生产加工乳制品、速冻食品、酒类（白酒、啤酒、葡萄酒及果酒等）、罐头、饮料、保健食品、特殊医学用途配方食品、婴幼儿配方食品、婴幼儿辅助食品、果冻、食品添加剂等产品，以及法律、法规禁止生产加工的其他产品。”之规定，属于生产加工不符合食品安全标准食品的行为。                                                                                </w:t>
      </w:r>
    </w:p>
    <w:p w14:paraId="36386040">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color w:val="auto"/>
          <w:sz w:val="32"/>
          <w:szCs w:val="32"/>
          <w:u w:color="auto"/>
          <w:lang w:val="en-US" w:eastAsia="zh-CN"/>
        </w:rPr>
        <w:t xml:space="preserve">自由裁量理由等其他需要说明的事项：当事人生产加工不符合食品安全标准食品的行为，不是当事人主观行为，在办案过程中，能积极配合我局的调查工作，如实陈述违法事实并主动提供证据材料，且涉案金额较小。截止到本案调查终结报告之日没有收到因涉案食品引起的不良反应报告。参照《河北省市场监督管理行政处罚裁量权适用规则》“第十五条 当事人有下列情形之一，可以依法从轻或者减轻行政处罚：（二）积极配合市场监督管理机关调查，如实陈述违法事实并主动提供证据材料的；（三）违法行为轻微，社会危害性较小的；”规定；建议适用从轻处罚。                                                    </w:t>
      </w:r>
    </w:p>
    <w:p w14:paraId="760C330D">
      <w:pPr>
        <w:keepNext w:val="0"/>
        <w:keepLines w:val="0"/>
        <w:pageBreakBefore w:val="0"/>
        <w:widowControl w:val="0"/>
        <w:kinsoku/>
        <w:wordWrap/>
        <w:overflowPunct/>
        <w:topLinePunct w:val="0"/>
        <w:autoSpaceDE/>
        <w:autoSpaceDN/>
        <w:bidi w:val="0"/>
        <w:adjustRightInd/>
        <w:snapToGrid/>
        <w:spacing w:line="500" w:lineRule="exact"/>
        <w:ind w:right="0" w:rightChars="0" w:firstLine="640" w:firstLineChars="200"/>
        <w:textAlignment w:val="auto"/>
        <w:outlineLvl w:val="9"/>
        <w:rPr>
          <w:rFonts w:hint="eastAsia" w:ascii="仿宋" w:hAnsi="仿宋" w:eastAsia="仿宋" w:cs="仿宋"/>
          <w:color w:val="auto"/>
          <w:sz w:val="32"/>
          <w:szCs w:val="32"/>
          <w:u w:color="auto"/>
          <w:lang w:val="en-US" w:eastAsia="zh-CN"/>
        </w:rPr>
      </w:pPr>
      <w:r>
        <w:rPr>
          <w:rFonts w:hint="eastAsia" w:ascii="仿宋" w:hAnsi="仿宋" w:eastAsia="仿宋" w:cs="仿宋"/>
          <w:color w:val="auto"/>
          <w:sz w:val="32"/>
          <w:szCs w:val="32"/>
          <w:u w:color="auto"/>
          <w:lang w:val="en-US" w:eastAsia="zh-CN"/>
        </w:rPr>
        <w:t xml:space="preserve">参照《河北省市场监督管理行政处罚裁量权适用规则》“69、《河北省食品小作坊小餐饮小摊点管理条例》（2019 年 7 月 25 日修正）行政处罚裁量权基准：序号1，裁量幅度：较轻，裁量基准：没收违法所得、违法生产经营的食品和用于违法生产经营的食品添加剂、原辅材料，并处五千元以上 八千元以下罚款。”之规定给予处罚。                             </w:t>
      </w:r>
    </w:p>
    <w:p w14:paraId="29DF6478">
      <w:pPr>
        <w:keepNext w:val="0"/>
        <w:keepLines w:val="0"/>
        <w:pageBreakBefore w:val="0"/>
        <w:widowControl w:val="0"/>
        <w:kinsoku/>
        <w:wordWrap/>
        <w:overflowPunct/>
        <w:topLinePunct w:val="0"/>
        <w:bidi w:val="0"/>
        <w:snapToGrid/>
        <w:spacing w:line="360" w:lineRule="exact"/>
        <w:jc w:val="center"/>
        <w:textAlignment w:val="auto"/>
        <w:outlineLvl w:val="0"/>
        <w:rPr>
          <w:rFonts w:hint="eastAsia" w:ascii="仿宋_GB2312" w:hAnsi="仿宋" w:eastAsia="仿宋_GB2312" w:cs="仿宋"/>
          <w:color w:val="auto"/>
          <w:sz w:val="30"/>
          <w:szCs w:val="30"/>
          <w:u w:val="single"/>
          <w:lang w:eastAsia="zh-CN"/>
        </w:rPr>
      </w:pPr>
      <w:r>
        <w:rPr>
          <w:rFonts w:hint="eastAsia" w:ascii="仿宋" w:hAnsi="仿宋" w:eastAsia="仿宋" w:cs="仿宋"/>
          <w:color w:val="auto"/>
          <w:sz w:val="32"/>
          <w:szCs w:val="32"/>
          <w:u w:color="auto"/>
          <w:lang w:val="en-US" w:eastAsia="zh-CN"/>
        </w:rPr>
        <w:t>《中华人民共和国行政处罚法》第二十八条第二款：“当事人有违法所得，除依法应当退赔的外，应当予以没收。违法所得是指实施违法行为所取得的款项。法律、行政法规、部门规则对违法所得的计算另有规定的，从其规定。”参照国家市场监督管理总局执法稽查局2021年4月29日回复的《关于食品生产行为违法判定问题》的意见第3条：“3、在处理食品安全违法案件中，一般计算违法所得和货值金额按照‘全部收入说’计算，即不扣除成本。”本案中，当事人</w:t>
      </w:r>
    </w:p>
    <w:p w14:paraId="61764229">
      <w:pPr>
        <w:spacing w:line="600" w:lineRule="exact"/>
        <w:jc w:val="both"/>
        <w:outlineLvl w:val="0"/>
        <w:rPr>
          <w:rFonts w:hint="eastAsia" w:ascii="方正小标宋简体" w:hAnsi="方正小标宋简体" w:eastAsia="方正小标宋简体" w:cs="方正小标宋简体"/>
          <w:bCs/>
          <w:color w:val="auto"/>
          <w:sz w:val="44"/>
          <w:szCs w:val="44"/>
          <w:lang w:eastAsia="zh-CN"/>
        </w:rPr>
      </w:pPr>
    </w:p>
    <w:p w14:paraId="61E19B25">
      <w:pPr>
        <w:rPr>
          <w:rFonts w:hint="eastAsia" w:eastAsiaTheme="minorEastAsia"/>
          <w:lang w:eastAsia="zh-CN"/>
        </w:rPr>
      </w:pPr>
      <w:r>
        <w:rPr>
          <w:rFonts w:hint="eastAsia" w:eastAsiaTheme="minorEastAsia"/>
          <w:lang w:eastAsia="zh-CN"/>
        </w:rPr>
        <w:drawing>
          <wp:inline distT="0" distB="0" distL="114300" distR="114300">
            <wp:extent cx="5272405" cy="7032625"/>
            <wp:effectExtent l="0" t="0" r="635" b="8255"/>
            <wp:docPr id="1" name="图片 1" descr="ee75f9d652368e6cd19e42b3a305b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e75f9d652368e6cd19e42b3a305bed1"/>
                    <pic:cNvPicPr>
                      <a:picLocks noChangeAspect="1"/>
                    </pic:cNvPicPr>
                  </pic:nvPicPr>
                  <pic:blipFill>
                    <a:blip r:embed="rId4"/>
                    <a:stretch>
                      <a:fillRect/>
                    </a:stretch>
                  </pic:blipFill>
                  <pic:spPr>
                    <a:xfrm>
                      <a:off x="0" y="0"/>
                      <a:ext cx="5272405" cy="703262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00" w:usb3="00000000" w:csb0="00040000" w:csb1="00000000"/>
  </w:font>
  <w:font w:name="Arial Unicode MS">
    <w:altName w:val="宋体"/>
    <w:panose1 w:val="020B0604020202020204"/>
    <w:charset w:val="86"/>
    <w:family w:val="modern"/>
    <w:pitch w:val="default"/>
    <w:sig w:usb0="00000000" w:usb1="00000000" w:usb2="0000003F" w:usb3="00000000" w:csb0="603F01FF" w:csb1="FFFF0000"/>
  </w:font>
  <w:font w:name="方正小标宋简体">
    <w:altName w:val="黑体"/>
    <w:panose1 w:val="02010601030101010101"/>
    <w:charset w:val="86"/>
    <w:family w:val="script"/>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AE30B0"/>
    <w:rsid w:val="0C260D1D"/>
    <w:rsid w:val="39612E5F"/>
    <w:rsid w:val="67BE674E"/>
    <w:rsid w:val="788778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仿宋_GB2312" w:asciiTheme="minorHAnsi" w:hAnsiTheme="minorHAnsi" w:eastAsiaTheme="minorEastAsia"/>
      <w:kern w:val="2"/>
      <w:sz w:val="24"/>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Times New Roman" w:eastAsia="Arial Unicode MS"/>
      <w:kern w:val="0"/>
      <w:sz w:val="32"/>
      <w:szCs w:val="32"/>
    </w:rPr>
  </w:style>
  <w:style w:type="paragraph" w:styleId="3">
    <w:name w:val="Normal (Web)"/>
    <w:basedOn w:val="1"/>
    <w:qFormat/>
    <w:uiPriority w:val="0"/>
    <w:pPr>
      <w:spacing w:before="100" w:beforeAutospacing="1" w:after="100" w:afterAutospacing="1"/>
      <w:jc w:val="left"/>
    </w:pPr>
    <w:rPr>
      <w:rFonts w:ascii="Times New Roman" w:hAnsi="Times New Roman" w:eastAsia="宋体" w:cs="Times New Roman"/>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4</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2023-07-24T04:02:00Z</dcterms:created>
  <dc:creator>Administrator</dc:creator>
  <cp:lastModifiedBy>夜</cp:lastModifiedBy>
  <dcterms:modified xsi:type="dcterms:W3CDTF">2025-10-28T02:44:19Z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A8D18E5F890C4EFC86A0CCBD7BB871BE_12</vt:lpwstr>
  </property>
  <property fmtid="{D5CDD505-2E9C-101B-9397-08002B2CF9AE}" pid="4" name="KSOTemplateDocerSaveRecord">
    <vt:lpwstr>eyJoZGlkIjoiMWJhYWRkMTNlMzNjNjQ0NWUyNzQzM2YwMTcyZDZkYzQiLCJ1c2VySWQiOiI1NDA2ODU3NTIifQ==</vt:lpwstr>
  </property>
</Properties>
</file>