
<file path=[Content_Types].xml><?xml version="1.0" encoding="utf-8"?>
<Types xmlns="http://schemas.openxmlformats.org/package/2006/content-types">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CB49996">
      <w:pPr>
        <w:spacing w:line="560" w:lineRule="exact"/>
        <w:jc w:val="center"/>
        <w:outlineLvl w:val="0"/>
        <w:rPr>
          <w:rFonts w:hint="eastAsia" w:ascii="方正小标宋简体" w:hAnsi="方正小标宋简体" w:eastAsia="方正小标宋简体" w:cs="方正小标宋简体"/>
          <w:bCs/>
          <w:sz w:val="44"/>
          <w:szCs w:val="44"/>
        </w:rPr>
      </w:pPr>
      <w:r>
        <w:rPr>
          <w:rFonts w:hint="eastAsia" w:ascii="方正小标宋简体" w:hAnsi="方正小标宋简体" w:eastAsia="方正小标宋简体" w:cs="方正小标宋简体"/>
          <w:bCs/>
          <w:sz w:val="44"/>
          <w:szCs w:val="44"/>
          <w:u w:val="single"/>
        </w:rPr>
        <w:t>平山县</w:t>
      </w:r>
      <w:r>
        <w:rPr>
          <w:rFonts w:hint="eastAsia" w:ascii="方正小标宋简体" w:hAnsi="方正小标宋简体" w:eastAsia="方正小标宋简体" w:cs="方正小标宋简体"/>
          <w:bCs/>
          <w:sz w:val="44"/>
          <w:szCs w:val="44"/>
        </w:rPr>
        <w:t>市场监督管理局</w:t>
      </w:r>
      <w:bookmarkStart w:id="0" w:name="_Toc76683364"/>
    </w:p>
    <w:p w14:paraId="0E60B2E6">
      <w:pPr>
        <w:spacing w:line="560" w:lineRule="exact"/>
        <w:jc w:val="center"/>
        <w:outlineLvl w:val="0"/>
        <w:rPr>
          <w:rFonts w:ascii="Times New Roman" w:hAnsi="Times New Roman" w:eastAsia="方正小标宋简体" w:cs="Mongolian Baiti"/>
          <w:bCs/>
          <w:color w:val="000000"/>
          <w:sz w:val="44"/>
          <w:szCs w:val="44"/>
        </w:rPr>
      </w:pPr>
      <w:r>
        <w:rPr>
          <w:rFonts w:ascii="Times New Roman" w:hAnsi="Mongolian Baiti" w:eastAsia="方正小标宋简体" w:cs="Mongolian Baiti"/>
          <w:bCs/>
          <w:color w:val="000000"/>
          <w:sz w:val="44"/>
          <w:szCs w:val="44"/>
        </w:rPr>
        <w:t>行政处罚决定书</w:t>
      </w:r>
      <w:bookmarkEnd w:id="0"/>
    </w:p>
    <w:p w14:paraId="5D5EA154">
      <w:pPr>
        <w:widowControl/>
        <w:snapToGrid w:val="0"/>
        <w:spacing w:line="560" w:lineRule="exact"/>
        <w:ind w:right="55"/>
        <w:jc w:val="center"/>
        <w:outlineLvl w:val="1"/>
        <w:rPr>
          <w:rFonts w:hint="eastAsia" w:ascii="Times New Roman" w:hAnsi="仿宋_GB2312" w:eastAsia="仿宋_GB2312" w:cs="仿宋_GB2312"/>
          <w:bCs/>
          <w:color w:val="000000"/>
          <w:sz w:val="32"/>
          <w:szCs w:val="32"/>
        </w:rPr>
      </w:pPr>
      <w:r>
        <w:rPr>
          <w:rFonts w:hint="eastAsia" w:ascii="Times New Roman" w:hAnsi="Times New Roman" w:eastAsia="仿宋_GB2312" w:cs="仿宋_GB2312"/>
          <w:bCs/>
          <w:color w:val="000000"/>
          <w:sz w:val="32"/>
          <w:szCs w:val="32"/>
          <w:u w:val="single"/>
        </w:rPr>
        <w:t>平</w:t>
      </w:r>
      <w:r>
        <w:rPr>
          <w:rFonts w:hint="eastAsia" w:ascii="Times New Roman" w:hAnsi="仿宋_GB2312" w:eastAsia="仿宋_GB2312" w:cs="仿宋_GB2312"/>
          <w:bCs/>
          <w:color w:val="000000"/>
          <w:sz w:val="32"/>
          <w:szCs w:val="32"/>
        </w:rPr>
        <w:t>市监处罚〔202</w:t>
      </w:r>
      <w:r>
        <w:rPr>
          <w:rFonts w:hint="eastAsia" w:ascii="Times New Roman" w:hAnsi="仿宋_GB2312" w:eastAsia="仿宋_GB2312" w:cs="仿宋_GB2312"/>
          <w:bCs/>
          <w:color w:val="000000"/>
          <w:sz w:val="32"/>
          <w:szCs w:val="32"/>
          <w:lang w:val="en-US" w:eastAsia="zh-CN"/>
        </w:rPr>
        <w:t>5</w:t>
      </w:r>
      <w:r>
        <w:rPr>
          <w:rFonts w:ascii="Times New Roman" w:hAnsi="仿宋_GB2312" w:eastAsia="仿宋_GB2312" w:cs="仿宋_GB2312"/>
          <w:bCs/>
          <w:color w:val="000000"/>
          <w:sz w:val="32"/>
          <w:szCs w:val="32"/>
        </w:rPr>
        <w:t>〕</w:t>
      </w:r>
      <w:r>
        <w:rPr>
          <w:rFonts w:hint="eastAsia" w:ascii="Times New Roman" w:hAnsi="仿宋_GB2312" w:eastAsia="仿宋_GB2312" w:cs="仿宋_GB2312"/>
          <w:bCs/>
          <w:color w:val="000000"/>
          <w:sz w:val="32"/>
          <w:szCs w:val="32"/>
        </w:rPr>
        <w:t>0</w:t>
      </w:r>
      <w:r>
        <w:rPr>
          <w:rFonts w:hint="eastAsia" w:ascii="Times New Roman" w:hAnsi="仿宋_GB2312" w:eastAsia="仿宋_GB2312" w:cs="仿宋_GB2312"/>
          <w:bCs/>
          <w:color w:val="000000"/>
          <w:sz w:val="32"/>
          <w:szCs w:val="32"/>
          <w:lang w:val="en-US" w:eastAsia="zh-CN"/>
        </w:rPr>
        <w:t>30</w:t>
      </w:r>
      <w:r>
        <w:rPr>
          <w:rFonts w:hint="eastAsia" w:ascii="Times New Roman" w:hAnsi="仿宋_GB2312" w:eastAsia="仿宋_GB2312" w:cs="仿宋_GB2312"/>
          <w:bCs/>
          <w:color w:val="000000"/>
          <w:sz w:val="32"/>
          <w:szCs w:val="32"/>
        </w:rPr>
        <w:t>号</w:t>
      </w:r>
    </w:p>
    <w:p w14:paraId="14954D91">
      <w:pPr>
        <w:keepNext w:val="0"/>
        <w:keepLines w:val="0"/>
        <w:pageBreakBefore w:val="0"/>
        <w:widowControl/>
        <w:kinsoku/>
        <w:wordWrap/>
        <w:overflowPunct/>
        <w:topLinePunct w:val="0"/>
        <w:autoSpaceDE/>
        <w:autoSpaceDN/>
        <w:bidi w:val="0"/>
        <w:adjustRightInd/>
        <w:snapToGrid w:val="0"/>
        <w:spacing w:line="520" w:lineRule="exact"/>
        <w:ind w:right="55" w:firstLine="640" w:firstLineChars="200"/>
        <w:jc w:val="both"/>
        <w:textAlignment w:val="auto"/>
        <w:outlineLvl w:val="1"/>
        <w:rPr>
          <w:rFonts w:hint="eastAsia" w:ascii="Times New Roman" w:hAnsi="仿宋_GB2312" w:eastAsia="仿宋_GB2312" w:cs="仿宋_GB2312"/>
          <w:bCs/>
          <w:color w:val="000000"/>
          <w:sz w:val="32"/>
          <w:szCs w:val="32"/>
        </w:rPr>
      </w:pPr>
    </w:p>
    <w:p w14:paraId="2668D98F">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20" w:lineRule="exact"/>
        <w:ind w:left="0" w:right="0" w:firstLine="640" w:firstLineChars="200"/>
        <w:jc w:val="both"/>
        <w:textAlignment w:val="auto"/>
        <w:rPr>
          <w:rFonts w:hint="default" w:ascii="仿宋_GB2312" w:hAnsi="仿宋_GB2312" w:eastAsia="仿宋_GB2312" w:cs="仿宋_GB2312"/>
          <w:bCs/>
          <w:sz w:val="32"/>
          <w:szCs w:val="32"/>
          <w:u w:val="single"/>
          <w:lang w:val="en-US" w:eastAsia="zh-CN"/>
        </w:rPr>
      </w:pPr>
      <w:r>
        <w:rPr>
          <w:rFonts w:hint="eastAsia" w:ascii="仿宋_GB2312" w:hAnsi="仿宋_GB2312" w:eastAsia="仿宋_GB2312" w:cs="仿宋_GB2312"/>
          <w:bCs/>
          <w:sz w:val="32"/>
          <w:szCs w:val="32"/>
          <w:u w:val="single"/>
          <w:lang w:val="en-US" w:eastAsia="zh-CN"/>
        </w:rPr>
        <w:t xml:space="preserve">当事人****，男，汉族，1970年10月16日生，初中文化，群众，身份证号：****，户籍地址：****，现住此地，联系电话：1***，河北博雅医药贸易有限公司区域销售部业务员，负责平山县和井陉县区域范围的药品销售业务。                                  </w:t>
      </w:r>
    </w:p>
    <w:p w14:paraId="14BC6A50">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20" w:lineRule="exact"/>
        <w:ind w:left="0" w:right="0" w:firstLine="640" w:firstLineChars="200"/>
        <w:jc w:val="both"/>
        <w:textAlignment w:val="auto"/>
        <w:rPr>
          <w:rFonts w:hint="default" w:ascii="仿宋_GB2312" w:hAnsi="仿宋_GB2312" w:eastAsia="仿宋_GB2312" w:cs="仿宋_GB2312"/>
          <w:bCs/>
          <w:sz w:val="32"/>
          <w:szCs w:val="32"/>
          <w:u w:val="single"/>
          <w:lang w:val="en-US" w:eastAsia="zh-CN"/>
        </w:rPr>
      </w:pPr>
      <w:r>
        <w:rPr>
          <w:rFonts w:hint="eastAsia" w:ascii="仿宋_GB2312" w:hAnsi="仿宋_GB2312" w:eastAsia="仿宋_GB2312" w:cs="仿宋_GB2312"/>
          <w:bCs/>
          <w:sz w:val="32"/>
          <w:szCs w:val="32"/>
          <w:u w:val="single"/>
          <w:lang w:val="en-US" w:eastAsia="zh-CN"/>
        </w:rPr>
        <w:t xml:space="preserve">2025年7月2日，我局接到平山县人民检察院《检察意见书》平检刑行意[2025]8号：在办理尚随元、胡青山等3人销售有毒、有害食品反向衔接案过程中发现尚随元、胡青山、梅彦生销售有毒、有害食品的行为需要给予行政处罚，现移送我局办理。附有尚随元、胡青山、梅彦生《不起诉决定书》3份。                                                </w:t>
      </w:r>
    </w:p>
    <w:p w14:paraId="4731EC3E">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20" w:lineRule="exact"/>
        <w:ind w:left="0" w:right="0" w:firstLine="640" w:firstLineChars="200"/>
        <w:jc w:val="both"/>
        <w:textAlignment w:val="auto"/>
        <w:rPr>
          <w:rFonts w:hint="default" w:ascii="仿宋_GB2312" w:hAnsi="仿宋_GB2312" w:eastAsia="仿宋_GB2312" w:cs="仿宋_GB2312"/>
          <w:bCs/>
          <w:sz w:val="32"/>
          <w:szCs w:val="32"/>
          <w:u w:val="single"/>
          <w:lang w:val="en-US" w:eastAsia="zh-CN"/>
        </w:rPr>
      </w:pPr>
      <w:r>
        <w:rPr>
          <w:rFonts w:hint="eastAsia" w:ascii="仿宋_GB2312" w:hAnsi="仿宋_GB2312" w:eastAsia="仿宋_GB2312" w:cs="仿宋_GB2312"/>
          <w:bCs/>
          <w:sz w:val="32"/>
          <w:szCs w:val="32"/>
          <w:u w:val="single"/>
          <w:lang w:val="en-US" w:eastAsia="zh-CN"/>
        </w:rPr>
        <w:t xml:space="preserve">2025年7月7日我局予以立案，当日执法人员曲枫涛、朱国亮到平山县人民检察院提取了与案件有关的平山县公安局作出的胡青山、尚随元、梅彦生的《询问笔录》，尚随元、胡青山售卖的“印度活根素”外包装照片、说明书照片、颗粒照片、《检验检测报告》，等有关证据。                                   </w:t>
      </w:r>
    </w:p>
    <w:p w14:paraId="28B6C05F">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20" w:lineRule="exact"/>
        <w:ind w:left="0" w:right="0" w:firstLine="640" w:firstLineChars="200"/>
        <w:jc w:val="both"/>
        <w:textAlignment w:val="auto"/>
        <w:rPr>
          <w:rFonts w:hint="default" w:ascii="仿宋_GB2312" w:hAnsi="仿宋_GB2312" w:eastAsia="仿宋_GB2312" w:cs="仿宋_GB2312"/>
          <w:bCs/>
          <w:sz w:val="32"/>
          <w:szCs w:val="32"/>
          <w:u w:val="single"/>
          <w:lang w:val="en-US" w:eastAsia="zh-CN"/>
        </w:rPr>
      </w:pPr>
      <w:r>
        <w:rPr>
          <w:rFonts w:hint="eastAsia" w:ascii="仿宋_GB2312" w:hAnsi="仿宋_GB2312" w:eastAsia="仿宋_GB2312" w:cs="仿宋_GB2312"/>
          <w:bCs/>
          <w:sz w:val="32"/>
          <w:szCs w:val="32"/>
          <w:u w:val="single"/>
          <w:lang w:val="en-US" w:eastAsia="zh-CN"/>
        </w:rPr>
        <w:t xml:space="preserve">2025年7月29日对当事人梅彦生进行了询问调查。       </w:t>
      </w:r>
    </w:p>
    <w:p w14:paraId="4729EE40">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20" w:lineRule="exact"/>
        <w:ind w:left="0" w:right="0" w:firstLine="640" w:firstLineChars="200"/>
        <w:jc w:val="both"/>
        <w:textAlignment w:val="auto"/>
        <w:rPr>
          <w:rFonts w:hint="default" w:ascii="仿宋_GB2312" w:hAnsi="仿宋_GB2312" w:eastAsia="仿宋_GB2312" w:cs="仿宋_GB2312"/>
          <w:bCs/>
          <w:sz w:val="32"/>
          <w:szCs w:val="32"/>
          <w:u w:val="single"/>
          <w:lang w:val="en-US" w:eastAsia="zh-CN"/>
        </w:rPr>
      </w:pPr>
      <w:r>
        <w:rPr>
          <w:rFonts w:hint="eastAsia" w:ascii="仿宋_GB2312" w:hAnsi="仿宋_GB2312" w:eastAsia="仿宋_GB2312" w:cs="仿宋_GB2312"/>
          <w:bCs/>
          <w:sz w:val="32"/>
          <w:szCs w:val="32"/>
          <w:u w:val="single"/>
          <w:lang w:val="en-US" w:eastAsia="zh-CN"/>
        </w:rPr>
        <w:t xml:space="preserve">2025年9月8日当事人提交了减轻处罚申请书(因赡养老人、妻子儿子无业多病、本人收入微薄，生活困难）。                 </w:t>
      </w:r>
    </w:p>
    <w:p w14:paraId="46E6690B">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20" w:lineRule="exact"/>
        <w:ind w:left="0" w:right="0" w:firstLine="640" w:firstLineChars="200"/>
        <w:jc w:val="both"/>
        <w:textAlignment w:val="auto"/>
        <w:rPr>
          <w:rFonts w:hint="default" w:ascii="仿宋_GB2312" w:hAnsi="仿宋_GB2312" w:eastAsia="仿宋_GB2312" w:cs="仿宋_GB2312"/>
          <w:bCs/>
          <w:sz w:val="32"/>
          <w:szCs w:val="32"/>
          <w:u w:val="single"/>
          <w:lang w:val="en-US" w:eastAsia="zh-CN"/>
        </w:rPr>
      </w:pPr>
      <w:r>
        <w:rPr>
          <w:rFonts w:hint="eastAsia" w:ascii="仿宋_GB2312" w:hAnsi="仿宋_GB2312" w:eastAsia="仿宋_GB2312" w:cs="仿宋_GB2312"/>
          <w:bCs/>
          <w:sz w:val="32"/>
          <w:szCs w:val="32"/>
          <w:u w:val="single"/>
          <w:lang w:val="en-US" w:eastAsia="zh-CN"/>
        </w:rPr>
        <w:t xml:space="preserve">案件调查过程中我局对当事人未采取行政强制措施。                       </w:t>
      </w:r>
    </w:p>
    <w:p w14:paraId="5AA661D3">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20" w:lineRule="exact"/>
        <w:ind w:left="0" w:right="0" w:firstLine="640" w:firstLineChars="200"/>
        <w:jc w:val="both"/>
        <w:textAlignment w:val="auto"/>
        <w:rPr>
          <w:rFonts w:hint="default" w:ascii="仿宋_GB2312" w:hAnsi="仿宋_GB2312" w:eastAsia="仿宋_GB2312" w:cs="仿宋_GB2312"/>
          <w:bCs/>
          <w:sz w:val="32"/>
          <w:szCs w:val="32"/>
          <w:u w:val="single"/>
          <w:lang w:val="en-US" w:eastAsia="zh-CN"/>
        </w:rPr>
      </w:pPr>
      <w:r>
        <w:rPr>
          <w:rFonts w:hint="eastAsia" w:ascii="仿宋_GB2312" w:hAnsi="仿宋_GB2312" w:eastAsia="仿宋_GB2312" w:cs="仿宋_GB2312"/>
          <w:bCs/>
          <w:sz w:val="32"/>
          <w:szCs w:val="32"/>
          <w:u w:val="single"/>
          <w:lang w:val="en-US" w:eastAsia="zh-CN"/>
        </w:rPr>
        <w:t xml:space="preserve">经查，河北博雅医药贸易有限公司区域业务员梅彦生,未取得食品经营许可从事食品经营活动，于2021年到2023年之间先后分三次，从石家庄国大医药城一个摊位上购进25盒(300粒)“印度活根素”保健食品(“补肾专家”，身心康牌抵抗力胶囊,抗疲劳、免疫调节)，以每盒15元(12粒)的价格购进，共计购进价款375元。2023年国大医药城已拆迁，具体是哪个摊位其也指认不了。在此期间将25盒(300粒)“印度活根素”保健食品(“补肾专家”，身心康牌抵抗力胶囊,抗疲劳、免疫调节)，以每盒15元(12粒)的价格，销售到位于平山县古月镇的平山康仁诊所，共计销售价款375元，未获利。平山康仁诊所由尚随元、胡青山合伙经营，已另案调查处理。经河北蕴鸿检测科技有限公司检验，尚随元、胡青山、梅彦生销售的“印度活根素”保健食品中西地那非含量为1.07x105μg/g、他达拉非含量为11.1μg/g,不符合国家食品药品监督管理局办公室《关于发布保健食品中可能非法添加的物质名单的(第一批)的通知》(食药监办保化[2012]33号)的要求。                                                  </w:t>
      </w:r>
    </w:p>
    <w:p w14:paraId="5C90786C">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20" w:lineRule="exact"/>
        <w:ind w:left="0" w:right="0" w:firstLine="640" w:firstLineChars="200"/>
        <w:jc w:val="both"/>
        <w:textAlignment w:val="auto"/>
        <w:rPr>
          <w:rFonts w:hint="default" w:ascii="仿宋_GB2312" w:hAnsi="仿宋_GB2312" w:eastAsia="仿宋_GB2312" w:cs="仿宋_GB2312"/>
          <w:bCs/>
          <w:sz w:val="32"/>
          <w:szCs w:val="32"/>
          <w:u w:val="single"/>
          <w:lang w:val="en-US" w:eastAsia="zh-CN"/>
        </w:rPr>
      </w:pPr>
      <w:r>
        <w:rPr>
          <w:rFonts w:hint="eastAsia" w:ascii="仿宋_GB2312" w:hAnsi="仿宋_GB2312" w:eastAsia="仿宋_GB2312" w:cs="仿宋_GB2312"/>
          <w:bCs/>
          <w:sz w:val="32"/>
          <w:szCs w:val="32"/>
          <w:u w:val="single"/>
          <w:lang w:val="en-US" w:eastAsia="zh-CN"/>
        </w:rPr>
        <w:t xml:space="preserve">上述事实，主要有以下证据证明：                      </w:t>
      </w:r>
    </w:p>
    <w:p w14:paraId="57112FDA">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20" w:lineRule="exact"/>
        <w:ind w:left="0" w:right="0" w:firstLine="640" w:firstLineChars="200"/>
        <w:jc w:val="both"/>
        <w:textAlignment w:val="auto"/>
        <w:rPr>
          <w:rFonts w:hint="eastAsia" w:ascii="仿宋_GB2312" w:hAnsi="仿宋_GB2312" w:eastAsia="仿宋_GB2312" w:cs="仿宋_GB2312"/>
          <w:bCs/>
          <w:sz w:val="32"/>
          <w:szCs w:val="32"/>
          <w:u w:val="single"/>
          <w:lang w:val="en-US" w:eastAsia="zh-CN"/>
        </w:rPr>
      </w:pPr>
      <w:r>
        <w:rPr>
          <w:rFonts w:hint="eastAsia" w:ascii="仿宋_GB2312" w:hAnsi="仿宋_GB2312" w:eastAsia="仿宋_GB2312" w:cs="仿宋_GB2312"/>
          <w:bCs/>
          <w:sz w:val="32"/>
          <w:szCs w:val="32"/>
          <w:u w:val="single"/>
          <w:lang w:val="en-US" w:eastAsia="zh-CN"/>
        </w:rPr>
        <w:t xml:space="preserve">1、当事人梅彦生提供的身份证复印件1份，证明当事人基本情况。                                                       </w:t>
      </w:r>
    </w:p>
    <w:p w14:paraId="1DF22376">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20" w:lineRule="exact"/>
        <w:ind w:left="0" w:right="0" w:firstLine="640" w:firstLineChars="200"/>
        <w:jc w:val="both"/>
        <w:textAlignment w:val="auto"/>
        <w:rPr>
          <w:rFonts w:hint="default" w:ascii="仿宋_GB2312" w:hAnsi="仿宋_GB2312" w:eastAsia="仿宋_GB2312" w:cs="仿宋_GB2312"/>
          <w:bCs/>
          <w:sz w:val="32"/>
          <w:szCs w:val="32"/>
          <w:u w:val="single"/>
          <w:lang w:val="en-US" w:eastAsia="zh-CN"/>
        </w:rPr>
      </w:pPr>
      <w:r>
        <w:rPr>
          <w:rFonts w:hint="eastAsia" w:ascii="仿宋_GB2312" w:hAnsi="仿宋_GB2312" w:eastAsia="仿宋_GB2312" w:cs="仿宋_GB2312"/>
          <w:bCs/>
          <w:sz w:val="32"/>
          <w:szCs w:val="32"/>
          <w:u w:val="single"/>
          <w:lang w:val="en-US" w:eastAsia="zh-CN"/>
        </w:rPr>
        <w:t xml:space="preserve">2、平山县公安局对河北博雅医药贸易有限公司李二燕、高雪亮询问笔录各1份，证明当事人主体资格和经营资格的事实。                                               </w:t>
      </w:r>
    </w:p>
    <w:p w14:paraId="407F6252">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仿宋_GB2312" w:hAnsi="仿宋_GB2312" w:eastAsia="仿宋_GB2312" w:cs="仿宋_GB2312"/>
          <w:bCs/>
          <w:sz w:val="32"/>
          <w:szCs w:val="32"/>
          <w:u w:val="single"/>
          <w:lang w:val="en-US" w:eastAsia="zh-CN"/>
        </w:rPr>
      </w:pPr>
      <w:r>
        <w:rPr>
          <w:rFonts w:hint="eastAsia" w:ascii="仿宋_GB2312" w:hAnsi="仿宋_GB2312" w:eastAsia="仿宋_GB2312" w:cs="仿宋_GB2312"/>
          <w:bCs/>
          <w:sz w:val="32"/>
          <w:szCs w:val="32"/>
          <w:u w:val="single"/>
          <w:lang w:val="en-US" w:eastAsia="zh-CN"/>
        </w:rPr>
        <w:t xml:space="preserve">3、平山县公安局对当事人的询问笔录3份、梅彦生指认照片1张、平山县市场监管局询问笔录1份、检验检测报告复印件1份。证明当事人未取得食品经营许可、经营在食品中添加食品添加剂以外的化学物质和其他可能危害人体健康的物质的食品的事实。                                                    </w:t>
      </w:r>
    </w:p>
    <w:p w14:paraId="42DF2230">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20" w:lineRule="exact"/>
        <w:ind w:left="0" w:right="0" w:firstLine="640" w:firstLineChars="200"/>
        <w:jc w:val="both"/>
        <w:textAlignment w:val="auto"/>
        <w:rPr>
          <w:rFonts w:hint="eastAsia" w:ascii="仿宋_GB2312" w:hAnsi="仿宋_GB2312" w:eastAsia="仿宋_GB2312" w:cs="仿宋_GB2312"/>
          <w:bCs/>
          <w:sz w:val="32"/>
          <w:szCs w:val="32"/>
          <w:u w:val="single"/>
          <w:lang w:val="en-US" w:eastAsia="zh-CN"/>
        </w:rPr>
      </w:pPr>
      <w:r>
        <w:rPr>
          <w:rFonts w:hint="eastAsia" w:ascii="仿宋_GB2312" w:hAnsi="仿宋_GB2312" w:eastAsia="仿宋_GB2312" w:cs="仿宋_GB2312"/>
          <w:bCs/>
          <w:sz w:val="32"/>
          <w:szCs w:val="32"/>
          <w:u w:val="single"/>
          <w:lang w:val="en-US" w:eastAsia="zh-CN"/>
        </w:rPr>
        <w:t xml:space="preserve">4、《河北省石家庄市平山县人民检察院检察建议书》（平检刑行意[2025]8号）复印件1份、《河北省石家庄市平山县人民检察院不起诉决定书》（平检刑不诉[2025]46号）1份，证明当事人违法案件来源及违法所得375元由公安机关依法处理。   </w:t>
      </w:r>
    </w:p>
    <w:p w14:paraId="0857824B">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20" w:lineRule="exact"/>
        <w:ind w:left="0" w:right="0" w:firstLine="640" w:firstLineChars="200"/>
        <w:jc w:val="both"/>
        <w:textAlignment w:val="auto"/>
        <w:rPr>
          <w:rFonts w:hint="default" w:ascii="仿宋_GB2312" w:hAnsi="仿宋_GB2312" w:eastAsia="仿宋_GB2312" w:cs="仿宋_GB2312"/>
          <w:bCs/>
          <w:sz w:val="32"/>
          <w:szCs w:val="32"/>
          <w:u w:val="single"/>
          <w:lang w:val="en-US" w:eastAsia="zh-CN"/>
        </w:rPr>
      </w:pPr>
      <w:r>
        <w:rPr>
          <w:rFonts w:hint="eastAsia" w:ascii="仿宋_GB2312" w:hAnsi="仿宋_GB2312" w:eastAsia="仿宋_GB2312" w:cs="仿宋_GB2312"/>
          <w:bCs/>
          <w:sz w:val="32"/>
          <w:szCs w:val="32"/>
          <w:u w:val="single"/>
          <w:lang w:val="en-US" w:eastAsia="zh-CN"/>
        </w:rPr>
        <w:t xml:space="preserve">5、梅彦生申请（减轻处罚）附：本人及妻子张海平病例诊断证明材料，证明当事人生活确有困难。                                               </w:t>
      </w:r>
    </w:p>
    <w:p w14:paraId="542DF25A">
      <w:pPr>
        <w:pStyle w:val="3"/>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20" w:lineRule="exact"/>
        <w:ind w:left="0" w:right="0" w:firstLine="640" w:firstLineChars="200"/>
        <w:jc w:val="both"/>
        <w:textAlignment w:val="auto"/>
        <w:rPr>
          <w:rFonts w:hint="default" w:ascii="仿宋_GB2312" w:hAnsi="仿宋_GB2312" w:eastAsia="仿宋_GB2312" w:cs="仿宋_GB2312"/>
          <w:bCs/>
          <w:sz w:val="32"/>
          <w:szCs w:val="32"/>
          <w:u w:val="single"/>
          <w:lang w:val="en-US" w:eastAsia="zh-CN"/>
        </w:rPr>
      </w:pPr>
      <w:r>
        <w:rPr>
          <w:rFonts w:hint="eastAsia" w:ascii="仿宋_GB2312" w:hAnsi="仿宋_GB2312" w:eastAsia="仿宋_GB2312" w:cs="仿宋_GB2312"/>
          <w:bCs/>
          <w:sz w:val="32"/>
          <w:szCs w:val="32"/>
          <w:u w:val="single"/>
          <w:lang w:val="en-US" w:eastAsia="zh-CN"/>
        </w:rPr>
        <w:t xml:space="preserve">当事人未取得食品经营许可从事食品经营活动，违反了《中华人民共和国食品安全法》（2021年4月29日修改）第三十五条第一款“国家对食品生产经营实行许可制度。从事食品生产、食品销售、餐饮服务，应当依法取得许可。但是，销售食用农产品和仅销售预包装食品的，不需要取得许可。仅销售预包装食品的，应当报所在地县级以上地方人民政府食品安全监督管理部门备案。”之规定，属于未取得食品经营许可从事食品经营活动。                                                    </w:t>
      </w:r>
    </w:p>
    <w:p w14:paraId="714BAFAD">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20" w:lineRule="exact"/>
        <w:ind w:left="0" w:right="0" w:firstLine="640" w:firstLineChars="200"/>
        <w:jc w:val="both"/>
        <w:textAlignment w:val="auto"/>
        <w:rPr>
          <w:rFonts w:hint="default" w:ascii="仿宋_GB2312" w:hAnsi="仿宋_GB2312" w:eastAsia="仿宋_GB2312" w:cs="仿宋_GB2312"/>
          <w:bCs/>
          <w:sz w:val="32"/>
          <w:szCs w:val="32"/>
          <w:u w:val="single"/>
          <w:lang w:val="en-US" w:eastAsia="zh-CN"/>
        </w:rPr>
      </w:pPr>
      <w:r>
        <w:rPr>
          <w:rFonts w:hint="eastAsia" w:ascii="仿宋_GB2312" w:hAnsi="仿宋_GB2312" w:eastAsia="仿宋_GB2312" w:cs="仿宋_GB2312"/>
          <w:bCs/>
          <w:sz w:val="32"/>
          <w:szCs w:val="32"/>
          <w:u w:val="single"/>
          <w:lang w:val="en-US" w:eastAsia="zh-CN"/>
        </w:rPr>
        <w:t xml:space="preserve">当事人经营的“印度活根素”保健食品中，添加了西地那非、他达拉非，违反了《中华人民共和国食品安全法》第三十四条：“禁止生产经营下列食品、食品添加剂、食品相关产品：（一）用非食品原料生产的食品或者添加食品添加剂以外的化学物质和其他可能危害人体健康物质的食品，或者用回收食品作为原料生产的食品；”之规定，属于经营在食品中添加食品添加剂以外的化学物质和其他可能危害人体健康的物质的食品的行为。                                        </w:t>
      </w:r>
    </w:p>
    <w:p w14:paraId="51B14184">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20" w:lineRule="exact"/>
        <w:ind w:left="0" w:right="0" w:firstLine="640" w:firstLineChars="200"/>
        <w:jc w:val="both"/>
        <w:textAlignment w:val="auto"/>
        <w:rPr>
          <w:rFonts w:hint="default" w:ascii="仿宋_GB2312" w:hAnsi="仿宋_GB2312" w:eastAsia="仿宋_GB2312" w:cs="仿宋_GB2312"/>
          <w:bCs/>
          <w:sz w:val="32"/>
          <w:szCs w:val="32"/>
          <w:u w:val="single"/>
          <w:lang w:val="en-US" w:eastAsia="zh-CN"/>
        </w:rPr>
      </w:pPr>
      <w:r>
        <w:rPr>
          <w:rFonts w:hint="eastAsia" w:ascii="仿宋_GB2312" w:hAnsi="仿宋_GB2312" w:eastAsia="仿宋_GB2312" w:cs="仿宋_GB2312"/>
          <w:bCs/>
          <w:sz w:val="32"/>
          <w:szCs w:val="32"/>
          <w:u w:val="single"/>
          <w:lang w:val="en-US" w:eastAsia="zh-CN"/>
        </w:rPr>
        <w:t xml:space="preserve">当事人未取得食品经营许可从事食品经营活动，违反了《中华人民共和国食品安全法》第三十五条第一款的规定，依据《中华人民共和国食品安全法》第一百二十二条第一款“违反本法规定，未取得食品生产经营许可从事食品生产经营活动，或者未取得食品添加剂生产许可从事食品添加剂生产活动的，由县级以上人民政府食品安全监督管理部门没收违法所得和违法生产经营的食品、食品添加剂以及用于违法生产经营的工具、设备、原料等物品；违法生产经营的食品、食品添加剂货值金额不足一万元的，并处五万元以上十万元以下罚款；货值金额一万元以上的，并处货值金额十倍以上二十倍以下罚款。”之规定，应当受到没收违法所得和违法生产经营的食品以及用于违法生产经营的工具、设备、原料等物品，并处五万元以上十万元以下罚款。                                              </w:t>
      </w:r>
    </w:p>
    <w:p w14:paraId="5D684519">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20" w:lineRule="exact"/>
        <w:ind w:left="0" w:right="0" w:firstLine="640" w:firstLineChars="200"/>
        <w:jc w:val="both"/>
        <w:textAlignment w:val="auto"/>
        <w:rPr>
          <w:rFonts w:hint="default" w:ascii="仿宋_GB2312" w:hAnsi="仿宋_GB2312" w:eastAsia="仿宋_GB2312" w:cs="仿宋_GB2312"/>
          <w:bCs/>
          <w:sz w:val="32"/>
          <w:szCs w:val="32"/>
          <w:u w:val="single"/>
          <w:lang w:val="en-US" w:eastAsia="zh-CN"/>
        </w:rPr>
      </w:pPr>
      <w:r>
        <w:rPr>
          <w:rFonts w:hint="eastAsia" w:ascii="仿宋_GB2312" w:hAnsi="仿宋_GB2312" w:eastAsia="仿宋_GB2312" w:cs="仿宋_GB2312"/>
          <w:bCs/>
          <w:sz w:val="32"/>
          <w:szCs w:val="32"/>
          <w:u w:val="single"/>
          <w:lang w:val="en-US" w:eastAsia="zh-CN"/>
        </w:rPr>
        <w:t>当事人经营的“印度活根素”保健食品中，添加了西地那非、他达拉非，违反了《中华人民共和国食品安全法》第三十四条第（一）项之规定，依据《中华人民共和国食品安全法》第一百二十三条第一款第（一）项：“违反本法规定，有下列情形之一，尚不构成犯罪的，由县级以上人民政府食品安全监督管理部门没收违法所得和违法生产经营的食品，并可以没收用于违法生产经营的工具、设备、原料等物品；违法生产经营的食品货值金额不足一万元的，并处十万元以上十五万元以下罚款；货值金额一万元以上的，并处货值金额十五倍以上三十倍以下罚款；情节严重的，吊销许可证，并可以由公安机关对其直接负责的主管人员和其他直接责任人员处五日以上十五日以下拘留：</w:t>
      </w:r>
      <w:r>
        <w:rPr>
          <w:rFonts w:hint="eastAsia" w:ascii="仿宋_GB2312" w:hAnsi="仿宋_GB2312" w:eastAsia="仿宋_GB2312" w:cs="仿宋_GB2312"/>
          <w:bCs/>
          <w:sz w:val="32"/>
          <w:szCs w:val="32"/>
          <w:u w:val="single"/>
        </w:rPr>
        <w:t>（一）用非食品原料生产食品、在食品中添加食品添加剂以外的化学物质和其他可能危害人体健康的物质，或者用回收食品作为原料生产食品，或者经营上述食品；</w:t>
      </w:r>
      <w:r>
        <w:rPr>
          <w:rFonts w:hint="eastAsia" w:ascii="仿宋_GB2312" w:hAnsi="仿宋_GB2312" w:eastAsia="仿宋_GB2312" w:cs="仿宋_GB2312"/>
          <w:bCs/>
          <w:sz w:val="32"/>
          <w:szCs w:val="32"/>
          <w:u w:val="single"/>
          <w:lang w:val="en-US" w:eastAsia="zh-CN"/>
        </w:rPr>
        <w:t xml:space="preserve">”之规定，应当受到没收违法所得和违法生产经营的食品，并处十万元以上十五万元以下罚款。                                           </w:t>
      </w:r>
    </w:p>
    <w:p w14:paraId="100622F3">
      <w:pPr>
        <w:keepNext w:val="0"/>
        <w:keepLines w:val="0"/>
        <w:pageBreakBefore w:val="0"/>
        <w:widowControl w:val="0"/>
        <w:suppressLineNumbers w:val="0"/>
        <w:kinsoku/>
        <w:wordWrap/>
        <w:overflowPunct/>
        <w:topLinePunct w:val="0"/>
        <w:autoSpaceDE/>
        <w:autoSpaceDN/>
        <w:bidi w:val="0"/>
        <w:adjustRightInd/>
        <w:snapToGrid/>
        <w:spacing w:line="520" w:lineRule="exact"/>
        <w:ind w:firstLine="640" w:firstLineChars="200"/>
        <w:jc w:val="both"/>
        <w:textAlignment w:val="auto"/>
        <w:rPr>
          <w:rFonts w:hint="eastAsia" w:ascii="仿宋_GB2312" w:hAnsi="仿宋_GB2312" w:eastAsia="仿宋_GB2312" w:cs="仿宋_GB2312"/>
          <w:bCs/>
          <w:sz w:val="32"/>
          <w:szCs w:val="32"/>
          <w:u w:val="single"/>
          <w:lang w:val="en-US" w:eastAsia="zh-CN"/>
        </w:rPr>
      </w:pPr>
      <w:r>
        <w:rPr>
          <w:rFonts w:hint="eastAsia" w:ascii="仿宋_GB2312" w:hAnsi="仿宋_GB2312" w:eastAsia="仿宋_GB2312" w:cs="仿宋_GB2312"/>
          <w:bCs/>
          <w:sz w:val="32"/>
          <w:szCs w:val="32"/>
          <w:u w:val="single"/>
          <w:lang w:val="en-US" w:eastAsia="zh-CN"/>
        </w:rPr>
        <w:t xml:space="preserve">当事人能够积极配合我局的调查工作，如实陈述违法事实并主动提供证据材料,且因赡养老人、妻子儿子无业多病、本人收入微薄，造成生活困难。参照《河北省市场监督管理系统行政处罚裁量权适用规则》“第十五条当事人有下列情形之一的，可以依法从轻或者减轻行政处罚:(二)积极配合市场监督管理机关 调查，如实陈述违法事并主动提供证据材料的;（六）当事人因残疾或者重大疾病等原因生活确有困难的;”的规定，对当事人违法行为的处罚适用减轻处罚。《河北省市场监督管理系统行政处罚裁量权适用规则》第九条对减轻处罚做了具体规定，内容是：“实施行政处罚，应当明确区分减轻行政处罚，从轻行政处罚、一般行政处罚、从重行政处罚的不同情况，准确行使行政处罚裁量权。（一）减轻行政处罚是指适用法定行政处罚最低限度以下的行政处罚种类或者行政处罚幅度，包括在违法行为应当受到的一种或者几种行政处罚种类之外选择更轻的行政处罚种类，或者在应当并处时不并处；也包括在法定最低罚款数额以下确定罚款数额。”。                                           </w:t>
      </w:r>
    </w:p>
    <w:p w14:paraId="75435C49">
      <w:pPr>
        <w:keepNext w:val="0"/>
        <w:keepLines w:val="0"/>
        <w:pageBreakBefore w:val="0"/>
        <w:widowControl w:val="0"/>
        <w:kinsoku/>
        <w:wordWrap/>
        <w:overflowPunct/>
        <w:topLinePunct w:val="0"/>
        <w:bidi w:val="0"/>
        <w:snapToGrid/>
        <w:spacing w:line="500" w:lineRule="exact"/>
        <w:textAlignment w:val="auto"/>
        <w:rPr>
          <w:rFonts w:hint="eastAsia" w:ascii="仿宋_GB2312" w:hAnsi="仿宋_GB2312" w:eastAsia="仿宋_GB2312" w:cs="仿宋_GB2312"/>
          <w:bCs/>
          <w:sz w:val="32"/>
          <w:szCs w:val="32"/>
          <w:u w:val="single"/>
          <w:lang w:val="en-US" w:eastAsia="zh-CN"/>
        </w:rPr>
      </w:pPr>
      <w:r>
        <w:rPr>
          <w:rFonts w:hint="eastAsia" w:ascii="仿宋_GB2312" w:hAnsi="仿宋_GB2312" w:eastAsia="仿宋_GB2312" w:cs="仿宋_GB2312"/>
          <w:bCs/>
          <w:sz w:val="32"/>
          <w:szCs w:val="32"/>
          <w:u w:val="single"/>
          <w:lang w:val="en-US" w:eastAsia="zh-CN"/>
        </w:rPr>
        <w:t>依据《中华人民共和国行政处罚法》第二十九条规定，“对</w:t>
      </w:r>
      <w:bookmarkStart w:id="1" w:name="_GoBack"/>
      <w:bookmarkEnd w:id="1"/>
    </w:p>
    <w:p w14:paraId="3512A498">
      <w:pPr>
        <w:keepNext w:val="0"/>
        <w:keepLines w:val="0"/>
        <w:pageBreakBefore w:val="0"/>
        <w:widowControl w:val="0"/>
        <w:kinsoku/>
        <w:wordWrap/>
        <w:overflowPunct/>
        <w:topLinePunct w:val="0"/>
        <w:bidi w:val="0"/>
        <w:snapToGrid/>
        <w:spacing w:line="500" w:lineRule="exact"/>
        <w:textAlignment w:val="auto"/>
        <w:rPr>
          <w:rFonts w:hint="eastAsia" w:ascii="仿宋_GB2312" w:hAnsi="仿宋_GB2312" w:eastAsia="仿宋_GB2312" w:cs="仿宋_GB2312"/>
          <w:bCs/>
          <w:sz w:val="32"/>
          <w:szCs w:val="32"/>
          <w:u w:val="single"/>
          <w:lang w:val="en-US" w:eastAsia="zh-CN"/>
        </w:rPr>
      </w:pPr>
      <w:r>
        <w:rPr>
          <w:rFonts w:hint="eastAsia" w:ascii="仿宋_GB2312" w:hAnsi="仿宋_GB2312" w:eastAsia="仿宋_GB2312" w:cs="仿宋_GB2312"/>
          <w:bCs/>
          <w:sz w:val="32"/>
          <w:szCs w:val="32"/>
          <w:u w:val="single"/>
          <w:lang w:val="en-US" w:eastAsia="zh-CN"/>
        </w:rPr>
        <w:drawing>
          <wp:anchor distT="0" distB="0" distL="114300" distR="114300" simplePos="0" relativeHeight="251659264" behindDoc="0" locked="0" layoutInCell="1" allowOverlap="1">
            <wp:simplePos x="0" y="0"/>
            <wp:positionH relativeFrom="column">
              <wp:posOffset>285750</wp:posOffset>
            </wp:positionH>
            <wp:positionV relativeFrom="paragraph">
              <wp:posOffset>523240</wp:posOffset>
            </wp:positionV>
            <wp:extent cx="5701665" cy="7604760"/>
            <wp:effectExtent l="0" t="0" r="13335" b="15240"/>
            <wp:wrapTopAndBottom/>
            <wp:docPr id="1" name="图片 1" descr="cb415ea2a4225f741eb52e5eac6b6e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cb415ea2a4225f741eb52e5eac6b6e7"/>
                    <pic:cNvPicPr>
                      <a:picLocks noChangeAspect="1"/>
                    </pic:cNvPicPr>
                  </pic:nvPicPr>
                  <pic:blipFill>
                    <a:blip r:embed="rId4"/>
                    <a:stretch>
                      <a:fillRect/>
                    </a:stretch>
                  </pic:blipFill>
                  <pic:spPr>
                    <a:xfrm>
                      <a:off x="0" y="0"/>
                      <a:ext cx="5701665" cy="7604760"/>
                    </a:xfrm>
                    <a:prstGeom prst="rect">
                      <a:avLst/>
                    </a:prstGeom>
                  </pic:spPr>
                </pic:pic>
              </a:graphicData>
            </a:graphic>
          </wp:anchor>
        </w:drawing>
      </w:r>
    </w:p>
    <w:sectPr>
      <w:pgSz w:w="11906" w:h="16838"/>
      <w:pgMar w:top="930" w:right="1463" w:bottom="930" w:left="1463"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swiss"/>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Unicode MS">
    <w:altName w:val="Arial"/>
    <w:panose1 w:val="020B0604020202020204"/>
    <w:charset w:val="00"/>
    <w:family w:val="roman"/>
    <w:pitch w:val="default"/>
    <w:sig w:usb0="00000000" w:usb1="00000000" w:usb2="00000000" w:usb3="00000000" w:csb0="00000001" w:csb1="00000000"/>
  </w:font>
  <w:font w:name="方正小标宋简体">
    <w:panose1 w:val="02000000000000000000"/>
    <w:charset w:val="86"/>
    <w:family w:val="auto"/>
    <w:pitch w:val="default"/>
    <w:sig w:usb0="00000001" w:usb1="08000000" w:usb2="00000000" w:usb3="00000000" w:csb0="00040000" w:csb1="00000000"/>
    <w:embedRegular r:id="rId1" w:fontKey="{88D5C764-3E12-4BBB-A63F-A520F2CEFC9B}"/>
  </w:font>
  <w:font w:name="Mongolian Baiti">
    <w:panose1 w:val="03000500000000000000"/>
    <w:charset w:val="00"/>
    <w:family w:val="script"/>
    <w:pitch w:val="default"/>
    <w:sig w:usb0="80000023" w:usb1="00000000" w:usb2="00020000" w:usb3="00000000" w:csb0="00000001" w:csb1="00000000"/>
    <w:embedRegular r:id="rId2" w:fontKey="{2A4863F4-CF93-43E8-88D0-1D610B4AF185}"/>
  </w:font>
  <w:font w:name="仿宋_GB2312">
    <w:altName w:val="仿宋"/>
    <w:panose1 w:val="02010609030101010101"/>
    <w:charset w:val="86"/>
    <w:family w:val="modern"/>
    <w:pitch w:val="default"/>
    <w:sig w:usb0="00000000" w:usb1="00000000" w:usb2="00000000" w:usb3="00000000" w:csb0="00040000" w:csb1="00000000"/>
    <w:embedRegular r:id="rId3" w:fontKey="{5D531243-1F5B-4D00-BA09-717BB5A476DF}"/>
  </w:font>
  <w:font w:name="仿宋">
    <w:panose1 w:val="02010609060101010101"/>
    <w:charset w:val="86"/>
    <w:family w:val="auto"/>
    <w:pitch w:val="default"/>
    <w:sig w:usb0="800002BF" w:usb1="38CF7CFA" w:usb2="00000016" w:usb3="00000000" w:csb0="00040001" w:csb1="00000000"/>
  </w:font>
  <w:font w:name="仿宋_GB2312">
    <w:altName w:val="仿宋"/>
    <w:panose1 w:val="00000000000000000000"/>
    <w:charset w:val="00"/>
    <w:family w:val="auto"/>
    <w:pitch w:val="default"/>
    <w:sig w:usb0="00000000" w:usb1="00000000" w:usb2="00000000" w:usb3="00000000" w:csb0="0000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JhYWRkMTNlMzNjNjQ0NWUyNzQzM2YwMTcyZDZkYzQifQ=="/>
  </w:docVars>
  <w:rsids>
    <w:rsidRoot w:val="0416082F"/>
    <w:rsid w:val="00E36624"/>
    <w:rsid w:val="0416082F"/>
    <w:rsid w:val="05640625"/>
    <w:rsid w:val="069D5AA2"/>
    <w:rsid w:val="07A951CE"/>
    <w:rsid w:val="08F40482"/>
    <w:rsid w:val="0AF65D7F"/>
    <w:rsid w:val="0B7849E6"/>
    <w:rsid w:val="0E392AF7"/>
    <w:rsid w:val="11295FAD"/>
    <w:rsid w:val="118F4C23"/>
    <w:rsid w:val="13104C50"/>
    <w:rsid w:val="16CB0FED"/>
    <w:rsid w:val="172E628C"/>
    <w:rsid w:val="175446C4"/>
    <w:rsid w:val="1A70356A"/>
    <w:rsid w:val="1D0543A9"/>
    <w:rsid w:val="1E1F17C6"/>
    <w:rsid w:val="1E7B0B8B"/>
    <w:rsid w:val="1F352F2B"/>
    <w:rsid w:val="1FDE70B6"/>
    <w:rsid w:val="230F7587"/>
    <w:rsid w:val="274A3283"/>
    <w:rsid w:val="27EC5A7D"/>
    <w:rsid w:val="28601ED1"/>
    <w:rsid w:val="28B9421C"/>
    <w:rsid w:val="29E76FCF"/>
    <w:rsid w:val="29F319B0"/>
    <w:rsid w:val="2B1B7365"/>
    <w:rsid w:val="2E540177"/>
    <w:rsid w:val="2EFC1307"/>
    <w:rsid w:val="39762DB5"/>
    <w:rsid w:val="3AB005A1"/>
    <w:rsid w:val="3AD16E1C"/>
    <w:rsid w:val="3F111A18"/>
    <w:rsid w:val="40815ECC"/>
    <w:rsid w:val="424132EA"/>
    <w:rsid w:val="424254B9"/>
    <w:rsid w:val="44AE67A8"/>
    <w:rsid w:val="458012DF"/>
    <w:rsid w:val="47E15906"/>
    <w:rsid w:val="4ACD66AA"/>
    <w:rsid w:val="4E1C29D4"/>
    <w:rsid w:val="50E84D6D"/>
    <w:rsid w:val="511402C5"/>
    <w:rsid w:val="52371063"/>
    <w:rsid w:val="55DF2C65"/>
    <w:rsid w:val="55E53842"/>
    <w:rsid w:val="55EB50A0"/>
    <w:rsid w:val="56694C24"/>
    <w:rsid w:val="57825F42"/>
    <w:rsid w:val="580D77F9"/>
    <w:rsid w:val="5C776F19"/>
    <w:rsid w:val="5CFF3BED"/>
    <w:rsid w:val="64E543C7"/>
    <w:rsid w:val="6AFA571E"/>
    <w:rsid w:val="6B2128DA"/>
    <w:rsid w:val="6D4D7561"/>
    <w:rsid w:val="74F55DDE"/>
    <w:rsid w:val="76D13197"/>
    <w:rsid w:val="7F0755A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Body Text"/>
    <w:basedOn w:val="1"/>
    <w:qFormat/>
    <w:uiPriority w:val="0"/>
    <w:pPr>
      <w:autoSpaceDE w:val="0"/>
      <w:autoSpaceDN w:val="0"/>
      <w:adjustRightInd w:val="0"/>
      <w:jc w:val="left"/>
    </w:pPr>
    <w:rPr>
      <w:rFonts w:ascii="Arial Unicode MS" w:hAnsi="Times New Roman" w:eastAsia="Arial Unicode MS"/>
      <w:kern w:val="0"/>
      <w:sz w:val="32"/>
      <w:szCs w:val="32"/>
    </w:rPr>
  </w:style>
  <w:style w:type="paragraph" w:styleId="3">
    <w:name w:val="Normal (Web)"/>
    <w:basedOn w:val="1"/>
    <w:qFormat/>
    <w:uiPriority w:val="0"/>
    <w:pPr>
      <w:spacing w:before="100" w:beforeAutospacing="1" w:after="10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3421</Words>
  <Characters>3595</Characters>
  <Lines>0</Lines>
  <Paragraphs>0</Paragraphs>
  <TotalTime>2</TotalTime>
  <ScaleCrop>false</ScaleCrop>
  <LinksUpToDate>false</LinksUpToDate>
  <CharactersWithSpaces>4461</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2023-03-14T09:13:00Z</dcterms:created>
  <dc:creator>红旗飘飘</dc:creator>
  <cp:lastModifiedBy>Gungnir</cp:lastModifiedBy>
  <cp:lastPrinted>2025-09-23T13:57:00Z</cp:lastPrinted>
  <dcterms:modified xsi:type="dcterms:W3CDTF">2025-10-21T17:49:07Z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C70F51431AA74194B22F78195E532EC3</vt:lpwstr>
  </property>
  <property fmtid="{D5CDD505-2E9C-101B-9397-08002B2CF9AE}" pid="4" name="KSOTemplateDocerSaveRecord">
    <vt:lpwstr>eyJoZGlkIjoiODUyZGRjNDZjODBiYWVjMTRkZTAwOTg1YTY3ZTliNjIiLCJ1c2VySWQiOiIzMDA3OTg2NjUifQ==</vt:lpwstr>
  </property>
</Properties>
</file>