
<file path=[Content_Types].xml><?xml version="1.0" encoding="utf-8"?>
<Types xmlns="http://schemas.openxmlformats.org/package/2006/content-types">
  <Default Extension="xml" ContentType="application/xml"/>
  <Default Extension="xlsx" ContentType="application/vnd.openxmlformats-officedocument.spreadsheetml.sheet"/>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pgBorders>
            <w:top w:val="none" w:sz="0" w:space="0"/>
            <w:left w:val="none" w:sz="0" w:space="0"/>
            <w:bottom w:val="none" w:sz="0" w:space="0"/>
            <w:right w:val="none" w:sz="0" w:space="0"/>
          </w:pgBorders>
          <w:cols w:space="425" w:num="1"/>
          <w:titlePg/>
          <w:docGrid w:type="lines" w:linePitch="312" w:charSpace="0"/>
        </w:sectPr>
      </w:pPr>
      <w:bookmarkStart w:id="0" w:name="_GoBack"/>
      <w:bookmarkEnd w:id="0"/>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平山县市场监督管理局</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both"/>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6"/>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一</w:t>
      </w:r>
      <w:r>
        <w:rPr>
          <w:rFonts w:hint="eastAsia" w:ascii="仿宋" w:hAnsi="仿宋" w:eastAsia="仿宋" w:cs="仿宋"/>
          <w:sz w:val="32"/>
          <w:szCs w:val="32"/>
        </w:rPr>
        <w:t>)负责组织贯彻落实市场监督管理地方性法规、政府规章，组织实施质量强县战略、食品安全战略、标准化战略、知识产权战略，拟订市场监督管理规划并组织实施，规范和维护市场秩序，营造诚实守信、公平竞争的市场环境</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(二)负责市场主体信用建设工作，建立市场主体信息公示和共享机制，依法公示和共享有关信息，加强信用监管，推动市场主体信用体系建设。</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(三)负责市场监管综合执法工作，负责市场监管综合执法队伍建设工作，推动实行统一的市场监管;组织</w:t>
      </w:r>
      <w:r>
        <w:rPr>
          <w:rFonts w:hint="eastAsia" w:ascii="仿宋" w:hAnsi="仿宋" w:eastAsia="仿宋" w:cs="仿宋"/>
          <w:sz w:val="32"/>
          <w:szCs w:val="32"/>
          <w:lang w:eastAsia="zh-CN"/>
        </w:rPr>
        <w:t>查</w:t>
      </w:r>
      <w:r>
        <w:rPr>
          <w:rFonts w:hint="eastAsia" w:ascii="仿宋" w:hAnsi="仿宋" w:eastAsia="仿宋" w:cs="仿宋"/>
          <w:sz w:val="32"/>
          <w:szCs w:val="32"/>
        </w:rPr>
        <w:t>处重大违法案件;规范市场监管行政执法行为。</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四)负责监督管理市场秩序，依法监督管理市场交易、网络商品交易及有关服务的行为;依法查处价格收费违法违规、不正当竞争、违法直销、传销、侵犯商标专利知识产权和制售假冒伪劣行为;负责全县广告业发展，监督管理广告活动;依法查处无照生产经营和相关无证生产经营行为;负责维护消费者权益;根据上级授权，负责对经营者集中行为进行反垄断审查，负责垄断协议、滥用市场支配地位和濫用行政权力排除、限制竞争等反垄断执法工作。指导企业在国外的反垄断应诉工作</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(五)负责全县宏观质量管理工作，拟订全县质量发展制度和</w:t>
      </w:r>
      <w:r>
        <w:rPr>
          <w:rFonts w:hint="eastAsia" w:ascii="仿宋" w:hAnsi="仿宋" w:eastAsia="仿宋" w:cs="仿宋"/>
          <w:sz w:val="32"/>
          <w:szCs w:val="32"/>
          <w:lang w:eastAsia="zh-CN"/>
        </w:rPr>
        <w:t>措施</w:t>
      </w:r>
      <w:r>
        <w:rPr>
          <w:rFonts w:hint="eastAsia" w:ascii="仿宋" w:hAnsi="仿宋" w:eastAsia="仿宋" w:cs="仿宋"/>
          <w:sz w:val="32"/>
          <w:szCs w:val="32"/>
        </w:rPr>
        <w:t>并组织实施;统筹全县质量基础设施建设与应用，会同有关部门组织实施重大工程设备质量监理制度，组织重大质量事故调查，组织实施缺陷产品召回制度，监督管理产品防伪工作。</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(六)负责全县产品质量安全监督管理工作，承担县级产品质量安全风险监控、监督抽查工作;组织实施质量分级制度、质量安全追溯制度;负责纤维质量监督工作</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(七)负责全县特种设备安全监督管理工作，负责特种设备安全监察、监督管理工作，监督检查高耗能特种设备节能标准和锅炉环境保护标准的执行情况。</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平山县食品安全委员会日常工作。</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(十)负责统一管理全县计量工作，推行法定计量单位和国家计量制度，管理计量器具及量值传递和比对工作;规范、监督商品量和市场计量行为。</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(十</w:t>
      </w:r>
      <w:r>
        <w:rPr>
          <w:rFonts w:hint="eastAsia" w:ascii="仿宋" w:hAnsi="仿宋" w:eastAsia="仿宋" w:cs="仿宋"/>
          <w:sz w:val="32"/>
          <w:szCs w:val="32"/>
          <w:lang w:eastAsia="zh-CN"/>
        </w:rPr>
        <w:t>一</w:t>
      </w:r>
      <w:r>
        <w:rPr>
          <w:rFonts w:hint="eastAsia" w:ascii="仿宋" w:hAnsi="仿宋" w:eastAsia="仿宋" w:cs="仿宋"/>
          <w:sz w:val="32"/>
          <w:szCs w:val="32"/>
        </w:rPr>
        <w:t>)负责统一管理全县标准化工作，宣传贯彻强制性、推着性国家标准和行业标准、地方标准;依法协调指导和监督团体标准、企业标准制定工作;组织升展标准化国际、区域合作和参与制定、米用国际标准工作</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(十</w:t>
      </w:r>
      <w:r>
        <w:rPr>
          <w:rFonts w:hint="eastAsia" w:ascii="仿宋" w:hAnsi="仿宋" w:eastAsia="仿宋" w:cs="仿宋"/>
          <w:sz w:val="32"/>
          <w:szCs w:val="32"/>
          <w:lang w:eastAsia="zh-CN"/>
        </w:rPr>
        <w:t>二</w:t>
      </w:r>
      <w:r>
        <w:rPr>
          <w:rFonts w:hint="eastAsia" w:ascii="仿宋" w:hAnsi="仿宋" w:eastAsia="仿宋" w:cs="仿宋"/>
          <w:sz w:val="32"/>
          <w:szCs w:val="32"/>
        </w:rPr>
        <w:t>)负责统一管理全县检验检测工作，推进检验检测机构改革，规范检验检测市场，完善检验检测体系，指导协调检验检冽行业发展</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(十三)负责统一管理、监督和协调全县认证认可工作，组织实施国家统一的认证认可和合格评定监督管理制度</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(十四)负责推进全县知识产权管理工作，拟订加强知识产权强县建设发展规划并组织实施，拟订强化知识产权创造、保护和运用的政策和制度并组织实施</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(十五)负责保护知识产权工作，贯彻落实严格保护商标、专利、原产地地理标志、集成电路布图设计等知识产权地方性法规、</w:t>
      </w:r>
      <w:r>
        <w:rPr>
          <w:rFonts w:hint="eastAsia" w:ascii="仿宋" w:hAnsi="仿宋" w:eastAsia="仿宋" w:cs="仿宋"/>
          <w:sz w:val="32"/>
          <w:szCs w:val="32"/>
          <w:lang w:val="en-US" w:eastAsia="zh-CN"/>
        </w:rPr>
        <w:t>政</w:t>
      </w:r>
      <w:r>
        <w:rPr>
          <w:rFonts w:hint="eastAsia" w:ascii="仿宋" w:hAnsi="仿宋" w:eastAsia="仿宋" w:cs="仿宋"/>
          <w:sz w:val="32"/>
          <w:szCs w:val="32"/>
        </w:rPr>
        <w:t>府规章;按照国家知识产权保护体系建设方案，推动建设知识产权保护体系;负责商标、专利执法工作，负责知识产权争议处理、维权援助和纠纷调处，承担京津冀知识产权执法协作工作</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(十六)负责促进知识产权运用工作，拟订知识产权运用和规范交易管理规范，促进知识产权转移转化;规范知识产权无形资产评估工作;负责知识产权中介服务发展的监督管理工作</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(十七)负责建立知识产权公共服务体系，建设便企利民、互联互通的全县知识产权信息公共服务平台，推动商标、专利等知识产权信息的传播利用。</w:t>
      </w:r>
    </w:p>
    <w:p>
      <w:pPr>
        <w:keepNext w:val="0"/>
        <w:keepLines w:val="0"/>
        <w:pageBreakBefore w:val="0"/>
        <w:widowControl w:val="0"/>
        <w:numPr>
          <w:ilvl w:val="0"/>
          <w:numId w:val="1"/>
        </w:numPr>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承担上级授权的知识产权代办工作任务;负责组织实原产地地理标志统一认定制度</w:t>
      </w:r>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(十九)负责市场监督管理科技和信息化建设、新闻宣传、对外交流与合作</w:t>
      </w:r>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二十)负责药品(含中药、民族药，下同)、医疗器械和化妆品安全监督管理工作;贯彻执行国家、省、市药品、医疗器械和化妆品法律法规，以及鼓励药品、医疗器械和化妆品新技术新产品的管理与服务政策，拟订监督管理措施并组织实施，组织贯彻落实地方性法规、政府规章。</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二十一</w:t>
      </w:r>
      <w:r>
        <w:rPr>
          <w:rFonts w:hint="eastAsia" w:ascii="仿宋" w:hAnsi="仿宋" w:eastAsia="仿宋" w:cs="仿宋"/>
          <w:sz w:val="32"/>
          <w:szCs w:val="32"/>
        </w:rPr>
        <w:t>)负责药品、医疗器械和化妆品质量管理工作，依职责监督实施药品、医疗器械经营质量管理规范</w:t>
      </w:r>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二十二</w:t>
      </w:r>
      <w:r>
        <w:rPr>
          <w:rFonts w:hint="eastAsia" w:ascii="仿宋" w:hAnsi="仿宋" w:eastAsia="仿宋" w:cs="仿宋"/>
          <w:sz w:val="32"/>
          <w:szCs w:val="32"/>
        </w:rPr>
        <w:t>)组织开展药品、化妆品不良反应监测、医疗器械不良事件监测、药物滥用监测工作，依法承担药品、医疗器械和化妆品安全应急管理工作。</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二十三)负责药品、医疗器械和化妆品监督检</w:t>
      </w:r>
      <w:r>
        <w:rPr>
          <w:rFonts w:hint="eastAsia" w:ascii="仿宋" w:hAnsi="仿宋" w:eastAsia="仿宋" w:cs="仿宋"/>
          <w:sz w:val="32"/>
          <w:szCs w:val="32"/>
          <w:lang w:eastAsia="zh-CN"/>
        </w:rPr>
        <w:t>查</w:t>
      </w:r>
      <w:r>
        <w:rPr>
          <w:rFonts w:hint="eastAsia" w:ascii="仿宋" w:hAnsi="仿宋" w:eastAsia="仿宋" w:cs="仿宋"/>
          <w:sz w:val="32"/>
          <w:szCs w:val="32"/>
        </w:rPr>
        <w:t>工作，贯彻落实国家、省、市检查制度，依法</w:t>
      </w:r>
      <w:r>
        <w:rPr>
          <w:rFonts w:hint="eastAsia" w:ascii="仿宋" w:hAnsi="仿宋" w:eastAsia="仿宋" w:cs="仿宋"/>
          <w:sz w:val="32"/>
          <w:szCs w:val="32"/>
          <w:lang w:eastAsia="zh-CN"/>
        </w:rPr>
        <w:t>查</w:t>
      </w:r>
      <w:r>
        <w:rPr>
          <w:rFonts w:hint="eastAsia" w:ascii="仿宋" w:hAnsi="仿宋" w:eastAsia="仿宋" w:cs="仿宋"/>
          <w:sz w:val="32"/>
          <w:szCs w:val="32"/>
        </w:rPr>
        <w:t>处药品、医疗器械和化妆品经营使用环节的违法行为</w:t>
      </w:r>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(二十四)组织开展药品、医疗器械和化妆品安全宣传、教育培训，推进诚信体系建设。</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(二十五)推动落实药品、医疗器械和化妆品安全企业主体责任。</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二十六)推进全县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(二十七)承接市市场监督管理局委托县级实施的管理事项</w:t>
      </w:r>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(二</w:t>
      </w:r>
      <w:r>
        <w:rPr>
          <w:rFonts w:hint="eastAsia" w:ascii="仿宋" w:hAnsi="仿宋" w:eastAsia="仿宋" w:cs="仿宋"/>
          <w:sz w:val="32"/>
          <w:szCs w:val="32"/>
          <w:lang w:eastAsia="zh-CN"/>
        </w:rPr>
        <w:t>十</w:t>
      </w:r>
      <w:r>
        <w:rPr>
          <w:rFonts w:hint="eastAsia" w:ascii="仿宋" w:hAnsi="仿宋" w:eastAsia="仿宋" w:cs="仿宋"/>
          <w:sz w:val="32"/>
          <w:szCs w:val="32"/>
        </w:rPr>
        <w:t>八)完成县委、县政府交办的其他任务</w:t>
      </w:r>
      <w:r>
        <w:rPr>
          <w:rFonts w:hint="eastAsia" w:ascii="仿宋" w:hAnsi="仿宋" w:eastAsia="仿宋" w:cs="仿宋"/>
          <w:sz w:val="32"/>
          <w:szCs w:val="32"/>
          <w:lang w:eastAsia="zh-CN"/>
        </w:rPr>
        <w:t>。</w:t>
      </w:r>
    </w:p>
    <w:p>
      <w:pPr>
        <w:widowControl/>
        <w:spacing w:line="580" w:lineRule="exact"/>
        <w:ind w:firstLine="640" w:firstLineChars="200"/>
        <w:rPr>
          <w:rFonts w:ascii="仿宋_GB2312" w:hAnsi="Calibri" w:eastAsia="仿宋_GB2312" w:cs="ArialUnicodeMS"/>
          <w:kern w:val="0"/>
          <w:sz w:val="32"/>
          <w:szCs w:val="32"/>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w:t>
      </w:r>
      <w:r>
        <w:rPr>
          <w:rFonts w:hint="eastAsia" w:ascii="仿宋_GB2312" w:hAnsi="Calibri" w:eastAsia="仿宋_GB2312" w:cs="ArialUnicodeMS"/>
          <w:kern w:val="0"/>
          <w:sz w:val="32"/>
          <w:szCs w:val="32"/>
          <w:lang w:val="en-US" w:eastAsia="zh-CN"/>
        </w:rPr>
        <w:t>19</w:t>
      </w:r>
      <w:r>
        <w:rPr>
          <w:rFonts w:hint="eastAsia" w:ascii="仿宋_GB2312" w:hAnsi="Calibri" w:eastAsia="仿宋_GB2312" w:cs="ArialUnicodeMS"/>
          <w:kern w:val="0"/>
          <w:sz w:val="32"/>
          <w:szCs w:val="32"/>
        </w:rPr>
        <w:t>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平山县市场监督管理局</w:t>
            </w:r>
          </w:p>
        </w:tc>
        <w:tc>
          <w:tcPr>
            <w:tcW w:w="2445" w:type="dxa"/>
            <w:vAlign w:val="top"/>
          </w:tcPr>
          <w:p>
            <w:pPr>
              <w:spacing w:after="0" w:line="560" w:lineRule="exact"/>
              <w:jc w:val="center"/>
              <w:rPr>
                <w:rFonts w:ascii="仿宋_GB2312" w:hAnsi="Calibri" w:eastAsia="仿宋_GB2312" w:cs="ArialUnicodeMS"/>
                <w:kern w:val="0"/>
                <w:sz w:val="28"/>
                <w:szCs w:val="28"/>
              </w:rPr>
            </w:pPr>
            <w:r>
              <w:rPr>
                <w:rFonts w:hint="eastAsia" w:eastAsia="仿宋_GB2312"/>
                <w:sz w:val="32"/>
                <w:szCs w:val="32"/>
                <w:lang w:val="en-US" w:eastAsia="zh-CN"/>
              </w:rPr>
              <w:t>行政单位</w:t>
            </w:r>
          </w:p>
        </w:tc>
        <w:tc>
          <w:tcPr>
            <w:tcW w:w="2665" w:type="dxa"/>
            <w:vAlign w:val="top"/>
          </w:tcPr>
          <w:p>
            <w:pPr>
              <w:spacing w:after="0" w:line="560" w:lineRule="exact"/>
              <w:jc w:val="center"/>
              <w:rPr>
                <w:rFonts w:ascii="仿宋_GB2312" w:hAnsi="Calibri" w:eastAsia="仿宋_GB2312" w:cs="ArialUnicodeMS"/>
                <w:kern w:val="0"/>
                <w:sz w:val="28"/>
                <w:szCs w:val="28"/>
              </w:rPr>
            </w:pPr>
            <w:r>
              <w:rPr>
                <w:rFonts w:hint="eastAsia" w:ascii="仿宋_GB2312" w:hAnsi="仿宋_GB2312" w:eastAsia="仿宋_GB2312" w:cs="仿宋_GB2312"/>
                <w:sz w:val="32"/>
                <w:szCs w:val="32"/>
                <w:highlight w:val="none"/>
                <w:vertAlign w:val="baseline"/>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Borders>
            <w:top w:val="none" w:sz="0" w:space="0"/>
            <w:left w:val="none" w:sz="0" w:space="0"/>
            <w:bottom w:val="none" w:sz="0" w:space="0"/>
            <w:right w:val="none" w:sz="0" w:space="0"/>
          </w:pgBorders>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6912"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6912;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6"/>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w:t>
      </w:r>
      <w:r>
        <w:rPr>
          <w:rFonts w:hint="eastAsia" w:ascii="仿宋_GB2312" w:hAnsi="Times New Roman" w:eastAsia="仿宋_GB2312" w:cs="DengXian-Regular"/>
          <w:sz w:val="32"/>
          <w:szCs w:val="32"/>
          <w:lang w:eastAsia="zh-CN"/>
        </w:rPr>
        <w:t>入</w:t>
      </w:r>
      <w:r>
        <w:rPr>
          <w:rFonts w:hint="eastAsia" w:ascii="仿宋_GB2312" w:hAnsi="Times New Roman" w:eastAsia="仿宋_GB2312" w:cs="DengXian-Regular"/>
          <w:sz w:val="32"/>
          <w:szCs w:val="32"/>
        </w:rPr>
        <w:t>（含结转和结余）</w:t>
      </w:r>
      <w:r>
        <w:rPr>
          <w:rFonts w:hint="eastAsia" w:ascii="仿宋_GB2312" w:hAnsi="Times New Roman" w:eastAsia="仿宋_GB2312" w:cs="DengXian-Regular"/>
          <w:sz w:val="32"/>
          <w:szCs w:val="32"/>
          <w:lang w:val="en-US" w:eastAsia="zh-CN"/>
        </w:rPr>
        <w:t>3310.60万元，</w:t>
      </w:r>
      <w:r>
        <w:rPr>
          <w:rFonts w:hint="eastAsia" w:ascii="仿宋_GB2312" w:hAnsi="Times New Roman" w:eastAsia="仿宋_GB2312" w:cs="DengXian-Regular"/>
          <w:sz w:val="32"/>
          <w:szCs w:val="32"/>
          <w:lang w:eastAsia="zh-CN"/>
        </w:rPr>
        <w:t>支出</w:t>
      </w:r>
      <w:r>
        <w:rPr>
          <w:rFonts w:hint="eastAsia" w:ascii="仿宋_GB2312" w:hAnsi="Times New Roman" w:eastAsia="仿宋_GB2312" w:cs="DengXian-Regular"/>
          <w:sz w:val="32"/>
          <w:szCs w:val="32"/>
        </w:rPr>
        <w:t>（含结转和结余）</w:t>
      </w:r>
      <w:r>
        <w:rPr>
          <w:rFonts w:hint="eastAsia" w:ascii="仿宋_GB2312" w:hAnsi="Times New Roman" w:eastAsia="仿宋_GB2312" w:cs="DengXian-Regular"/>
          <w:sz w:val="32"/>
          <w:szCs w:val="32"/>
          <w:lang w:val="en-US" w:eastAsia="zh-CN"/>
        </w:rPr>
        <w:t>3310.60万元</w:t>
      </w:r>
      <w:r>
        <w:rPr>
          <w:rFonts w:hint="eastAsia" w:ascii="仿宋_GB2312" w:hAnsi="Times New Roman" w:eastAsia="仿宋_GB2312" w:cs="DengXian-Regular"/>
          <w:sz w:val="32"/>
          <w:szCs w:val="32"/>
        </w:rPr>
        <w:t>。与2018年度决算相比，收</w:t>
      </w:r>
      <w:r>
        <w:rPr>
          <w:rFonts w:hint="eastAsia" w:ascii="仿宋_GB2312" w:hAnsi="Times New Roman" w:eastAsia="仿宋_GB2312" w:cs="DengXian-Regular"/>
          <w:sz w:val="32"/>
          <w:szCs w:val="32"/>
          <w:lang w:eastAsia="zh-CN"/>
        </w:rPr>
        <w:t>入减少</w:t>
      </w:r>
      <w:r>
        <w:rPr>
          <w:rFonts w:hint="eastAsia" w:ascii="仿宋_GB2312" w:hAnsi="Times New Roman" w:eastAsia="仿宋_GB2312" w:cs="DengXian-Regular"/>
          <w:sz w:val="32"/>
          <w:szCs w:val="32"/>
          <w:lang w:val="en-US" w:eastAsia="zh-CN"/>
        </w:rPr>
        <w:t>2.19万元，</w:t>
      </w:r>
      <w:r>
        <w:rPr>
          <w:rFonts w:hint="eastAsia" w:ascii="仿宋_GB2312" w:hAnsi="Times New Roman" w:eastAsia="仿宋_GB2312" w:cs="DengXian-Regular"/>
          <w:sz w:val="32"/>
          <w:szCs w:val="32"/>
        </w:rPr>
        <w:t>下降</w:t>
      </w:r>
      <w:r>
        <w:rPr>
          <w:rFonts w:hint="eastAsia" w:ascii="仿宋_GB2312" w:hAnsi="Times New Roman" w:eastAsia="仿宋_GB2312" w:cs="DengXian-Regular"/>
          <w:sz w:val="32"/>
          <w:szCs w:val="32"/>
          <w:lang w:val="en-US" w:eastAsia="zh-CN"/>
        </w:rPr>
        <w:t>0.066</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，支出</w:t>
      </w:r>
      <w:r>
        <w:rPr>
          <w:rFonts w:hint="eastAsia" w:ascii="仿宋_GB2312" w:hAnsi="Times New Roman" w:eastAsia="仿宋_GB2312" w:cs="DengXian-Regular"/>
          <w:sz w:val="32"/>
          <w:szCs w:val="32"/>
        </w:rPr>
        <w:t>减少</w:t>
      </w:r>
      <w:r>
        <w:rPr>
          <w:rFonts w:hint="eastAsia" w:ascii="仿宋_GB2312" w:hAnsi="Times New Roman" w:eastAsia="仿宋_GB2312" w:cs="DengXian-Regular"/>
          <w:sz w:val="32"/>
          <w:szCs w:val="32"/>
          <w:lang w:val="en-US" w:eastAsia="zh-CN"/>
        </w:rPr>
        <w:t>2.19</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w:t>
      </w:r>
      <w:r>
        <w:rPr>
          <w:rFonts w:hint="eastAsia" w:ascii="仿宋_GB2312" w:hAnsi="Times New Roman" w:eastAsia="仿宋_GB2312" w:cs="DengXian-Regular"/>
          <w:sz w:val="32"/>
          <w:szCs w:val="32"/>
        </w:rPr>
        <w:t>下降</w:t>
      </w:r>
      <w:r>
        <w:rPr>
          <w:rFonts w:hint="eastAsia" w:ascii="仿宋_GB2312" w:hAnsi="Times New Roman" w:eastAsia="仿宋_GB2312" w:cs="DengXian-Regular"/>
          <w:sz w:val="32"/>
          <w:szCs w:val="32"/>
          <w:lang w:val="en-US" w:eastAsia="zh-CN"/>
        </w:rPr>
        <w:t>0.066</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3310.60</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3310.60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sz w:val="32"/>
        </w:rPr>
        <mc:AlternateContent>
          <mc:Choice Requires="wps">
            <w:drawing>
              <wp:anchor distT="0" distB="0" distL="114300" distR="114300" simplePos="0" relativeHeight="251694080" behindDoc="0" locked="0" layoutInCell="1" allowOverlap="1">
                <wp:simplePos x="0" y="0"/>
                <wp:positionH relativeFrom="column">
                  <wp:posOffset>1065530</wp:posOffset>
                </wp:positionH>
                <wp:positionV relativeFrom="paragraph">
                  <wp:posOffset>3443605</wp:posOffset>
                </wp:positionV>
                <wp:extent cx="3131820" cy="487680"/>
                <wp:effectExtent l="4445" t="5080" r="18415" b="10160"/>
                <wp:wrapNone/>
                <wp:docPr id="35" name="文本框 35"/>
                <wp:cNvGraphicFramePr/>
                <a:graphic xmlns:a="http://schemas.openxmlformats.org/drawingml/2006/main">
                  <a:graphicData uri="http://schemas.microsoft.com/office/word/2010/wordprocessingShape">
                    <wps:wsp>
                      <wps:cNvSpPr txBox="1"/>
                      <wps:spPr>
                        <a:xfrm>
                          <a:off x="1883410" y="8105775"/>
                          <a:ext cx="3131820" cy="48768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both"/>
                              <w:rPr>
                                <w:rFonts w:ascii="仿宋_GB2312" w:hAnsi="Times New Roman" w:eastAsia="仿宋_GB2312" w:cs="DengXian-Regular"/>
                                <w:sz w:val="28"/>
                                <w:szCs w:val="28"/>
                              </w:rPr>
                            </w:pPr>
                            <w:r>
                              <w:rPr>
                                <w:rFonts w:hint="eastAsia" w:ascii="仿宋_GB2312" w:hAnsi="Times New Roman" w:eastAsia="仿宋_GB2312" w:cs="DengXian-Regular"/>
                                <w:sz w:val="28"/>
                                <w:szCs w:val="28"/>
                                <w:lang w:val="en-US" w:eastAsia="zh-CN"/>
                              </w:rPr>
                              <w:t xml:space="preserve">        </w:t>
                            </w: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eastAsia="zh-CN"/>
                              </w:rPr>
                              <w:t>二</w:t>
                            </w:r>
                            <w:r>
                              <w:rPr>
                                <w:rFonts w:hint="eastAsia" w:ascii="仿宋_GB2312" w:hAnsi="Times New Roman" w:eastAsia="仿宋_GB2312" w:cs="DengXian-Regular"/>
                                <w:sz w:val="28"/>
                                <w:szCs w:val="28"/>
                              </w:rPr>
                              <w:t>：收入构成情况</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9pt;margin-top:271.15pt;height:38.4pt;width:246.6pt;z-index:251694080;mso-width-relative:page;mso-height-relative:page;" fillcolor="#FFFFFF [3201]" filled="t" stroked="t" coordsize="21600,21600" o:gfxdata="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">
                <v:fill on="t" focussize="0,0"/>
                <v:stroke weight="0.5pt" color="#000000 [3204]" joinstyle="round"/>
                <v:imagedata o:title=""/>
                <o:lock v:ext="edit" aspectratio="f"/>
                <v:textbox>
                  <w:txbxContent>
                    <w:p>
                      <w:pPr>
                        <w:adjustRightInd w:val="0"/>
                        <w:snapToGrid w:val="0"/>
                        <w:spacing w:after="160" w:line="560" w:lineRule="exact"/>
                        <w:jc w:val="both"/>
                        <w:rPr>
                          <w:rFonts w:ascii="仿宋_GB2312" w:hAnsi="Times New Roman" w:eastAsia="仿宋_GB2312" w:cs="DengXian-Regular"/>
                          <w:sz w:val="28"/>
                          <w:szCs w:val="28"/>
                        </w:rPr>
                      </w:pPr>
                      <w:r>
                        <w:rPr>
                          <w:rFonts w:hint="eastAsia" w:ascii="仿宋_GB2312" w:hAnsi="Times New Roman" w:eastAsia="仿宋_GB2312" w:cs="DengXian-Regular"/>
                          <w:sz w:val="28"/>
                          <w:szCs w:val="28"/>
                          <w:lang w:val="en-US" w:eastAsia="zh-CN"/>
                        </w:rPr>
                        <w:t xml:space="preserve">        </w:t>
                      </w: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eastAsia="zh-CN"/>
                        </w:rPr>
                        <w:t>二</w:t>
                      </w:r>
                      <w:r>
                        <w:rPr>
                          <w:rFonts w:hint="eastAsia" w:ascii="仿宋_GB2312" w:hAnsi="Times New Roman" w:eastAsia="仿宋_GB2312" w:cs="DengXian-Regular"/>
                          <w:sz w:val="28"/>
                          <w:szCs w:val="28"/>
                        </w:rPr>
                        <w:t>：收入构成情况</w:t>
                      </w:r>
                    </w:p>
                    <w:p/>
                  </w:txbxContent>
                </v:textbox>
              </v:shape>
            </w:pict>
          </mc:Fallback>
        </mc:AlternateContent>
      </w:r>
      <w:r>
        <w:rPr>
          <w:rFonts w:hint="eastAsia" w:ascii="仿宋_GB2312" w:hAnsi="Times New Roman" w:eastAsia="仿宋_GB2312" w:cs="DengXian-Regular"/>
          <w:sz w:val="32"/>
          <w:szCs w:val="32"/>
          <w:lang w:eastAsia="zh-CN"/>
        </w:rPr>
        <w:drawing>
          <wp:anchor distT="0" distB="0" distL="114300" distR="114300" simplePos="0" relativeHeight="251693056" behindDoc="0" locked="0" layoutInCell="1" allowOverlap="1">
            <wp:simplePos x="0" y="0"/>
            <wp:positionH relativeFrom="column">
              <wp:posOffset>760730</wp:posOffset>
            </wp:positionH>
            <wp:positionV relativeFrom="paragraph">
              <wp:posOffset>164465</wp:posOffset>
            </wp:positionV>
            <wp:extent cx="3778885" cy="3185795"/>
            <wp:effectExtent l="4445" t="4445" r="11430" b="10160"/>
            <wp:wrapTopAndBottom/>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rPr>
          <w:rFonts w:hint="eastAsia"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3180.36</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2787.73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87.65</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392.62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12.35</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ascii="仿宋_GB2312" w:hAnsi="Times New Roman" w:eastAsia="仿宋_GB2312" w:cs="DengXian-Regular"/>
          <w:sz w:val="32"/>
          <w:szCs w:val="32"/>
        </w:rPr>
      </w:pPr>
      <w:r>
        <w:rPr>
          <w:sz w:val="32"/>
        </w:rPr>
        <mc:AlternateContent>
          <mc:Choice Requires="wps">
            <w:drawing>
              <wp:anchor distT="0" distB="0" distL="114300" distR="114300" simplePos="0" relativeHeight="251692032" behindDoc="0" locked="0" layoutInCell="1" allowOverlap="1">
                <wp:simplePos x="0" y="0"/>
                <wp:positionH relativeFrom="column">
                  <wp:posOffset>799465</wp:posOffset>
                </wp:positionH>
                <wp:positionV relativeFrom="paragraph">
                  <wp:posOffset>2891790</wp:posOffset>
                </wp:positionV>
                <wp:extent cx="3718560" cy="454025"/>
                <wp:effectExtent l="4445" t="4445" r="10795" b="13970"/>
                <wp:wrapNone/>
                <wp:docPr id="32" name="文本框 32"/>
                <wp:cNvGraphicFramePr/>
                <a:graphic xmlns:a="http://schemas.openxmlformats.org/drawingml/2006/main">
                  <a:graphicData uri="http://schemas.microsoft.com/office/word/2010/wordprocessingShape">
                    <wps:wsp>
                      <wps:cNvSpPr txBox="1"/>
                      <wps:spPr>
                        <a:xfrm>
                          <a:off x="2218690" y="5329555"/>
                          <a:ext cx="3718560" cy="45402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eastAsia="zh-CN"/>
                              </w:rPr>
                              <w:t>三</w:t>
                            </w:r>
                            <w:r>
                              <w:rPr>
                                <w:rFonts w:hint="eastAsia" w:ascii="仿宋_GB2312" w:hAnsi="Times New Roman" w:eastAsia="仿宋_GB2312" w:cs="DengXian-Regular"/>
                                <w:sz w:val="28"/>
                                <w:szCs w:val="28"/>
                              </w:rPr>
                              <w:t>：支出构成情况（按支出性质）</w:t>
                            </w:r>
                          </w:p>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构成情况（按支出性质）</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2.95pt;margin-top:227.7pt;height:35.75pt;width:292.8pt;z-index:251692032;mso-width-relative:page;mso-height-relative:page;" fillcolor="#FFFFFF [3201]" filled="t" stroked="t" coordsize="21600,21600" o:gfxdata="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CNDYebYAAAACwEAAA8AAAAAAAAAAQAgAAAAIgAAAGRycy9kb3ducmV2LnhtbFBL&#10;AQIUABQAAAAIAIdO4kDnqcdeaAIAAMUEAAAOAAAAAAAAAAEAIAAAACcBAABkcnMvZTJvRG9jLnht&#10;bFBLBQYAAAAABgAGAFkBAAABBgAAAAA=&#10;">
                <v:fill on="t" focussize="0,0"/>
                <v:stroke weight="0.5pt" color="#000000 [3204]" joinstyle="round"/>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eastAsia="zh-CN"/>
                        </w:rPr>
                        <w:t>三</w:t>
                      </w:r>
                      <w:r>
                        <w:rPr>
                          <w:rFonts w:hint="eastAsia" w:ascii="仿宋_GB2312" w:hAnsi="Times New Roman" w:eastAsia="仿宋_GB2312" w:cs="DengXian-Regular"/>
                          <w:sz w:val="28"/>
                          <w:szCs w:val="28"/>
                        </w:rPr>
                        <w:t>：支出构成情况（按支出性质）</w:t>
                      </w:r>
                    </w:p>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构成情况（按支出性质）</w:t>
                      </w:r>
                    </w:p>
                    <w:p/>
                  </w:txbxContent>
                </v:textbox>
              </v:shape>
            </w:pict>
          </mc:Fallback>
        </mc:AlternateContent>
      </w:r>
      <w:r>
        <w:rPr>
          <w:rFonts w:hint="eastAsia" w:ascii="仿宋_GB2312" w:hAnsi="Times New Roman" w:eastAsia="仿宋_GB2312" w:cs="DengXian-Regular"/>
          <w:sz w:val="32"/>
          <w:szCs w:val="32"/>
          <w:lang w:eastAsia="zh-CN"/>
        </w:rPr>
        <w:drawing>
          <wp:anchor distT="0" distB="0" distL="114300" distR="114300" simplePos="0" relativeHeight="251691008" behindDoc="0" locked="0" layoutInCell="1" allowOverlap="1">
            <wp:simplePos x="0" y="0"/>
            <wp:positionH relativeFrom="column">
              <wp:posOffset>706120</wp:posOffset>
            </wp:positionH>
            <wp:positionV relativeFrom="paragraph">
              <wp:posOffset>77470</wp:posOffset>
            </wp:positionV>
            <wp:extent cx="3922395" cy="2742565"/>
            <wp:effectExtent l="4445" t="4445" r="5080" b="11430"/>
            <wp:wrapTopAndBottom/>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pPr>
        <w:keepNext/>
        <w:keepLines/>
        <w:snapToGrid w:val="0"/>
        <w:spacing w:line="580" w:lineRule="exact"/>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3310.60</w:t>
      </w:r>
      <w:r>
        <w:rPr>
          <w:rFonts w:hint="eastAsia" w:ascii="仿宋_GB2312" w:hAnsi="Times New Roman" w:eastAsia="仿宋_GB2312" w:cs="DengXian-Regular"/>
          <w:sz w:val="32"/>
          <w:szCs w:val="32"/>
        </w:rPr>
        <w:t>万元,比2018年度</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2.82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0.085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3310.60</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2.82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0.085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w:t>
      </w:r>
    </w:p>
    <w:p>
      <w:pPr>
        <w:adjustRightInd w:val="0"/>
        <w:snapToGrid w:val="0"/>
        <w:spacing w:line="580" w:lineRule="exact"/>
        <w:rPr>
          <w:rFonts w:hint="eastAsia" w:ascii="仿宋_GB2312" w:hAnsi="Times New Roman" w:eastAsia="仿宋_GB2312" w:cs="DengXian-Regular"/>
          <w:sz w:val="32"/>
          <w:szCs w:val="32"/>
          <w:highlight w:val="yellow"/>
        </w:rPr>
      </w:pPr>
      <w:r>
        <w:rPr>
          <w:sz w:val="32"/>
        </w:rPr>
        <mc:AlternateContent>
          <mc:Choice Requires="wps">
            <w:drawing>
              <wp:anchor distT="0" distB="0" distL="114300" distR="114300" simplePos="0" relativeHeight="251698176" behindDoc="0" locked="0" layoutInCell="1" allowOverlap="1">
                <wp:simplePos x="0" y="0"/>
                <wp:positionH relativeFrom="column">
                  <wp:posOffset>951230</wp:posOffset>
                </wp:positionH>
                <wp:positionV relativeFrom="paragraph">
                  <wp:posOffset>4083050</wp:posOffset>
                </wp:positionV>
                <wp:extent cx="4107180" cy="403225"/>
                <wp:effectExtent l="4445" t="4445" r="18415" b="19050"/>
                <wp:wrapNone/>
                <wp:docPr id="39" name="文本框 39"/>
                <wp:cNvGraphicFramePr/>
                <a:graphic xmlns:a="http://schemas.openxmlformats.org/drawingml/2006/main">
                  <a:graphicData uri="http://schemas.microsoft.com/office/word/2010/wordprocessingShape">
                    <wps:wsp>
                      <wps:cNvSpPr txBox="1"/>
                      <wps:spPr>
                        <a:xfrm>
                          <a:off x="1959610" y="5506085"/>
                          <a:ext cx="4107180" cy="40322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eastAsia" w:eastAsia="宋体"/>
                                <w:lang w:eastAsia="zh-CN"/>
                              </w:rPr>
                            </w:pPr>
                            <w:r>
                              <w:rPr>
                                <w:rFonts w:hint="eastAsia" w:eastAsia="宋体"/>
                                <w:lang w:eastAsia="zh-CN"/>
                              </w:rPr>
                              <w:t>图</w:t>
                            </w:r>
                            <w:r>
                              <w:rPr>
                                <w:rFonts w:hint="eastAsia" w:eastAsia="宋体"/>
                                <w:lang w:val="en-US" w:eastAsia="zh-CN"/>
                              </w:rPr>
                              <w:t>4：财政拨款收支与上年决算数对比情况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9pt;margin-top:321.5pt;height:31.75pt;width:323.4pt;z-index:251698176;mso-width-relative:page;mso-height-relative:page;" fillcolor="#FFFFFF [3201]" filled="t" stroked="t" coordsize="21600,21600" o:gfxdata="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">
                <v:fill on="t" focussize="0,0"/>
                <v:stroke weight="0.5pt" color="#000000 [3204]" joinstyle="round"/>
                <v:imagedata o:title=""/>
                <o:lock v:ext="edit" aspectratio="f"/>
                <v:textbox>
                  <w:txbxContent>
                    <w:p>
                      <w:pPr>
                        <w:rPr>
                          <w:rFonts w:hint="eastAsia" w:eastAsia="宋体"/>
                          <w:lang w:eastAsia="zh-CN"/>
                        </w:rPr>
                      </w:pPr>
                      <w:r>
                        <w:rPr>
                          <w:rFonts w:hint="eastAsia" w:eastAsia="宋体"/>
                          <w:lang w:eastAsia="zh-CN"/>
                        </w:rPr>
                        <w:t>图</w:t>
                      </w:r>
                      <w:r>
                        <w:rPr>
                          <w:rFonts w:hint="eastAsia" w:eastAsia="宋体"/>
                          <w:lang w:val="en-US" w:eastAsia="zh-CN"/>
                        </w:rPr>
                        <w:t>4：财政拨款收支与上年决算数对比情况</w:t>
                      </w:r>
                    </w:p>
                  </w:txbxContent>
                </v:textbox>
              </v:shape>
            </w:pict>
          </mc:Fallback>
        </mc:AlternateContent>
      </w:r>
      <w:r>
        <w:rPr>
          <w:rFonts w:hint="eastAsia" w:ascii="仿宋_GB2312" w:hAnsi="Times New Roman" w:eastAsia="仿宋_GB2312" w:cs="DengXian-Regular"/>
          <w:sz w:val="32"/>
          <w:szCs w:val="32"/>
          <w:highlight w:val="yellow"/>
        </w:rPr>
        <w:drawing>
          <wp:anchor distT="0" distB="0" distL="114300" distR="114300" simplePos="0" relativeHeight="251695104" behindDoc="0" locked="0" layoutInCell="1" allowOverlap="1">
            <wp:simplePos x="0" y="0"/>
            <wp:positionH relativeFrom="column">
              <wp:posOffset>288925</wp:posOffset>
            </wp:positionH>
            <wp:positionV relativeFrom="paragraph">
              <wp:posOffset>20955</wp:posOffset>
            </wp:positionV>
            <wp:extent cx="5080000" cy="4053840"/>
            <wp:effectExtent l="4445" t="4445" r="5715" b="10795"/>
            <wp:wrapTopAndBottom/>
            <wp:docPr id="36" name="图表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3310.60</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107.08</w:t>
      </w:r>
      <w:r>
        <w:rPr>
          <w:rFonts w:hint="eastAsia" w:ascii="仿宋_GB2312" w:hAnsi="Times New Roman" w:eastAsia="仿宋_GB2312" w:cs="DengXian-Regular"/>
          <w:sz w:val="32"/>
          <w:szCs w:val="32"/>
        </w:rPr>
        <w:t>%（如图</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219</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机构改革，单位合并</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3310.60</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107.08</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219</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eastAsia="zh-CN"/>
        </w:rPr>
        <w:t>机构改革，单位合并，费用增加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sz w:val="32"/>
        </w:rPr>
        <mc:AlternateContent>
          <mc:Choice Requires="wps">
            <w:drawing>
              <wp:anchor distT="0" distB="0" distL="114300" distR="114300" simplePos="0" relativeHeight="251697152" behindDoc="0" locked="0" layoutInCell="1" allowOverlap="1">
                <wp:simplePos x="0" y="0"/>
                <wp:positionH relativeFrom="column">
                  <wp:posOffset>943610</wp:posOffset>
                </wp:positionH>
                <wp:positionV relativeFrom="paragraph">
                  <wp:posOffset>3007995</wp:posOffset>
                </wp:positionV>
                <wp:extent cx="3581400" cy="290195"/>
                <wp:effectExtent l="4445" t="4445" r="10795" b="10160"/>
                <wp:wrapNone/>
                <wp:docPr id="38" name="文本框 38"/>
                <wp:cNvGraphicFramePr/>
                <a:graphic xmlns:a="http://schemas.openxmlformats.org/drawingml/2006/main">
                  <a:graphicData uri="http://schemas.microsoft.com/office/word/2010/wordprocessingShape">
                    <wps:wsp>
                      <wps:cNvSpPr txBox="1"/>
                      <wps:spPr>
                        <a:xfrm>
                          <a:off x="1951990" y="4492625"/>
                          <a:ext cx="3581400" cy="29019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r>
                              <w:rPr>
                                <w:rFonts w:hint="eastAsia" w:ascii="仿宋_GB2312" w:eastAsia="仿宋_GB2312" w:cs="DengXian-Regular"/>
                                <w:sz w:val="24"/>
                                <w:lang w:val="en-US" w:eastAsia="zh-CN"/>
                              </w:rPr>
                              <w:t xml:space="preserve">  </w:t>
                            </w:r>
                            <w:r>
                              <w:rPr>
                                <w:rFonts w:hint="eastAsia" w:ascii="仿宋_GB2312" w:eastAsia="仿宋_GB2312" w:cs="DengXian-Regular"/>
                                <w:sz w:val="24"/>
                              </w:rPr>
                              <w:t>图</w:t>
                            </w:r>
                            <w:r>
                              <w:rPr>
                                <w:rFonts w:hint="eastAsia" w:ascii="仿宋_GB2312" w:eastAsia="仿宋_GB2312" w:cs="DengXian-Regular"/>
                                <w:sz w:val="24"/>
                                <w:lang w:val="en-US" w:eastAsia="zh-CN"/>
                              </w:rPr>
                              <w:t>5</w:t>
                            </w:r>
                            <w:r>
                              <w:rPr>
                                <w:rFonts w:hint="eastAsia" w:ascii="仿宋_GB2312" w:eastAsia="仿宋_GB2312" w:cs="DengXian-Regular"/>
                                <w:sz w:val="24"/>
                              </w:rPr>
                              <w:t>：</w:t>
                            </w:r>
                            <w:r>
                              <w:rPr>
                                <w:rFonts w:hint="eastAsia" w:ascii="仿宋_GB2312" w:eastAsia="仿宋_GB2312" w:cs="DengXian-Regular"/>
                                <w:sz w:val="24"/>
                                <w:lang w:eastAsia="zh-CN"/>
                              </w:rPr>
                              <w:t>财</w:t>
                            </w:r>
                            <w:r>
                              <w:rPr>
                                <w:rFonts w:hint="eastAsia" w:ascii="仿宋_GB2312" w:eastAsia="仿宋_GB2312" w:cs="DengXian-Regular"/>
                                <w:sz w:val="24"/>
                              </w:rPr>
                              <w:t>政拨款收支预</w:t>
                            </w:r>
                            <w:r>
                              <w:rPr>
                                <w:rFonts w:hint="eastAsia" w:ascii="仿宋_GB2312" w:eastAsia="仿宋_GB2312" w:cs="DengXian-Regular"/>
                                <w:sz w:val="24"/>
                                <w:lang w:eastAsia="zh-CN"/>
                              </w:rPr>
                              <w:t>算</w:t>
                            </w:r>
                            <w:r>
                              <w:rPr>
                                <w:rFonts w:hint="eastAsia" w:ascii="仿宋_GB2312" w:eastAsia="仿宋_GB2312" w:cs="DengXian-Regular"/>
                                <w:sz w:val="24"/>
                              </w:rPr>
                              <w:t>决</w:t>
                            </w:r>
                            <w:r>
                              <w:rPr>
                                <w:rFonts w:hint="eastAsia" w:ascii="仿宋_GB2312" w:eastAsia="仿宋_GB2312" w:cs="DengXian-Regular"/>
                                <w:sz w:val="24"/>
                                <w:lang w:eastAsia="zh-CN"/>
                              </w:rPr>
                              <w:t>算对</w:t>
                            </w:r>
                            <w:r>
                              <w:rPr>
                                <w:rFonts w:hint="eastAsia" w:ascii="仿宋_GB2312" w:eastAsia="仿宋_GB2312" w:cs="DengXian-Regular"/>
                                <w:sz w:val="24"/>
                              </w:rPr>
                              <w:t>比情况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3pt;margin-top:236.85pt;height:22.85pt;width:282pt;z-index:251697152;mso-width-relative:page;mso-height-relative:page;" fillcolor="#FFFFFF [3201]" filled="t" stroked="t" coordsize="21600,21600" o:gfxdata="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GWx/ptcAAAALAQAADwAAAAAAAAABACAAAAAiAAAAZHJzL2Rvd25yZXYueG1sUEsBAhQA&#10;FAAAAAgAh07iQLEbDGplAgAAxQQAAA4AAAAAAAAAAQAgAAAAJgEAAGRycy9lMm9Eb2MueG1sUEsF&#10;BgAAAAAGAAYAWQEAAP0FAAAAAA==&#10;">
                <v:fill on="t" focussize="0,0"/>
                <v:stroke weight="0.5pt" color="#000000 [3204]" joinstyle="round"/>
                <v:imagedata o:title=""/>
                <o:lock v:ext="edit" aspectratio="f"/>
                <v:textbox>
                  <w:txbxContent>
                    <w:p>
                      <w:r>
                        <w:rPr>
                          <w:rFonts w:hint="eastAsia" w:ascii="仿宋_GB2312" w:eastAsia="仿宋_GB2312" w:cs="DengXian-Regular"/>
                          <w:sz w:val="24"/>
                          <w:lang w:val="en-US" w:eastAsia="zh-CN"/>
                        </w:rPr>
                        <w:t xml:space="preserve">  </w:t>
                      </w:r>
                      <w:r>
                        <w:rPr>
                          <w:rFonts w:hint="eastAsia" w:ascii="仿宋_GB2312" w:eastAsia="仿宋_GB2312" w:cs="DengXian-Regular"/>
                          <w:sz w:val="24"/>
                        </w:rPr>
                        <w:t>图</w:t>
                      </w:r>
                      <w:r>
                        <w:rPr>
                          <w:rFonts w:hint="eastAsia" w:ascii="仿宋_GB2312" w:eastAsia="仿宋_GB2312" w:cs="DengXian-Regular"/>
                          <w:sz w:val="24"/>
                          <w:lang w:val="en-US" w:eastAsia="zh-CN"/>
                        </w:rPr>
                        <w:t>5</w:t>
                      </w:r>
                      <w:r>
                        <w:rPr>
                          <w:rFonts w:hint="eastAsia" w:ascii="仿宋_GB2312" w:eastAsia="仿宋_GB2312" w:cs="DengXian-Regular"/>
                          <w:sz w:val="24"/>
                        </w:rPr>
                        <w:t>：</w:t>
                      </w:r>
                      <w:r>
                        <w:rPr>
                          <w:rFonts w:hint="eastAsia" w:ascii="仿宋_GB2312" w:eastAsia="仿宋_GB2312" w:cs="DengXian-Regular"/>
                          <w:sz w:val="24"/>
                          <w:lang w:eastAsia="zh-CN"/>
                        </w:rPr>
                        <w:t>财</w:t>
                      </w:r>
                      <w:r>
                        <w:rPr>
                          <w:rFonts w:hint="eastAsia" w:ascii="仿宋_GB2312" w:eastAsia="仿宋_GB2312" w:cs="DengXian-Regular"/>
                          <w:sz w:val="24"/>
                        </w:rPr>
                        <w:t>政拨款收支预</w:t>
                      </w:r>
                      <w:r>
                        <w:rPr>
                          <w:rFonts w:hint="eastAsia" w:ascii="仿宋_GB2312" w:eastAsia="仿宋_GB2312" w:cs="DengXian-Regular"/>
                          <w:sz w:val="24"/>
                          <w:lang w:eastAsia="zh-CN"/>
                        </w:rPr>
                        <w:t>算</w:t>
                      </w:r>
                      <w:r>
                        <w:rPr>
                          <w:rFonts w:hint="eastAsia" w:ascii="仿宋_GB2312" w:eastAsia="仿宋_GB2312" w:cs="DengXian-Regular"/>
                          <w:sz w:val="24"/>
                        </w:rPr>
                        <w:t>决</w:t>
                      </w:r>
                      <w:r>
                        <w:rPr>
                          <w:rFonts w:hint="eastAsia" w:ascii="仿宋_GB2312" w:eastAsia="仿宋_GB2312" w:cs="DengXian-Regular"/>
                          <w:sz w:val="24"/>
                          <w:lang w:eastAsia="zh-CN"/>
                        </w:rPr>
                        <w:t>算对</w:t>
                      </w:r>
                      <w:r>
                        <w:rPr>
                          <w:rFonts w:hint="eastAsia" w:ascii="仿宋_GB2312" w:eastAsia="仿宋_GB2312" w:cs="DengXian-Regular"/>
                          <w:sz w:val="24"/>
                        </w:rPr>
                        <w:t>比情况</w:t>
                      </w:r>
                    </w:p>
                  </w:txbxContent>
                </v:textbox>
              </v:shape>
            </w:pict>
          </mc:Fallback>
        </mc:AlternateContent>
      </w:r>
      <w:r>
        <w:rPr>
          <w:rFonts w:hint="eastAsia" w:ascii="仿宋_GB2312" w:hAnsi="Times New Roman" w:eastAsia="仿宋_GB2312" w:cs="DengXian-Regular"/>
          <w:sz w:val="32"/>
          <w:szCs w:val="32"/>
          <w:lang w:eastAsia="zh-CN"/>
        </w:rPr>
        <w:drawing>
          <wp:anchor distT="0" distB="0" distL="114300" distR="114300" simplePos="0" relativeHeight="251696128" behindDoc="0" locked="0" layoutInCell="1" allowOverlap="1">
            <wp:simplePos x="0" y="0"/>
            <wp:positionH relativeFrom="column">
              <wp:posOffset>212725</wp:posOffset>
            </wp:positionH>
            <wp:positionV relativeFrom="paragraph">
              <wp:posOffset>156845</wp:posOffset>
            </wp:positionV>
            <wp:extent cx="5072380" cy="2744470"/>
            <wp:effectExtent l="4445" t="4445" r="13335" b="9525"/>
            <wp:wrapTopAndBottom/>
            <wp:docPr id="37" name="图表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3310.60</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3310.60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%，；公共安全类（类）支出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%；教育（类）支出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%；科学技术（类）支出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 xml:space="preserve">%；社会保障和就业（类）支出 </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rPr>
          <w:rFonts w:ascii="楷体_GB2312" w:hAnsi="Times New Roman" w:eastAsia="楷体_GB2312" w:cs="DengXian-Bold"/>
          <w:b/>
          <w:bCs/>
          <w:sz w:val="32"/>
          <w:szCs w:val="32"/>
        </w:rPr>
      </w:pPr>
      <w:r>
        <w:rPr>
          <w:sz w:val="32"/>
        </w:rPr>
        <mc:AlternateContent>
          <mc:Choice Requires="wps">
            <w:drawing>
              <wp:anchor distT="0" distB="0" distL="114300" distR="114300" simplePos="0" relativeHeight="251700224" behindDoc="0" locked="0" layoutInCell="1" allowOverlap="1">
                <wp:simplePos x="0" y="0"/>
                <wp:positionH relativeFrom="column">
                  <wp:posOffset>1271270</wp:posOffset>
                </wp:positionH>
                <wp:positionV relativeFrom="paragraph">
                  <wp:posOffset>2229485</wp:posOffset>
                </wp:positionV>
                <wp:extent cx="3238500" cy="434340"/>
                <wp:effectExtent l="4445" t="4445" r="18415" b="18415"/>
                <wp:wrapNone/>
                <wp:docPr id="42" name="文本框 42"/>
                <wp:cNvGraphicFramePr/>
                <a:graphic xmlns:a="http://schemas.openxmlformats.org/drawingml/2006/main">
                  <a:graphicData uri="http://schemas.microsoft.com/office/word/2010/wordprocessingShape">
                    <wps:wsp>
                      <wps:cNvSpPr txBox="1"/>
                      <wps:spPr>
                        <a:xfrm>
                          <a:off x="2279650" y="9135110"/>
                          <a:ext cx="3238500" cy="43434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36"/>
                                <w:szCs w:val="36"/>
                              </w:rPr>
                            </w:pPr>
                            <w:r>
                              <w:rPr>
                                <w:rFonts w:hint="eastAsia" w:ascii="仿宋_GB2312" w:hAnsi="Times New Roman" w:eastAsia="仿宋_GB2312" w:cs="DengXian-Regular"/>
                                <w:sz w:val="24"/>
                                <w:szCs w:val="36"/>
                              </w:rPr>
                              <w:t>图</w:t>
                            </w:r>
                            <w:r>
                              <w:rPr>
                                <w:rFonts w:hint="eastAsia" w:ascii="仿宋_GB2312" w:hAnsi="Times New Roman" w:eastAsia="仿宋_GB2312" w:cs="DengXian-Regular"/>
                                <w:sz w:val="24"/>
                                <w:szCs w:val="36"/>
                                <w:lang w:eastAsia="zh-CN"/>
                              </w:rPr>
                              <w:t>六</w:t>
                            </w:r>
                            <w:r>
                              <w:rPr>
                                <w:rFonts w:hint="eastAsia" w:ascii="仿宋_GB2312" w:hAnsi="Times New Roman" w:eastAsia="仿宋_GB2312" w:cs="DengXian-Regular"/>
                                <w:sz w:val="24"/>
                                <w:szCs w:val="36"/>
                              </w:rPr>
                              <w:t>：财政拨款支出决算结构（按功能分类）</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00.1pt;margin-top:175.55pt;height:34.2pt;width:255pt;z-index:251700224;mso-width-relative:page;mso-height-relative:page;" fillcolor="#FFFFFF [3201]" filled="t" stroked="t" coordsize="21600,21600" o:gfxdata="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XlLD0NcAAAALAQAADwAAAAAAAAABACAAAAAiAAAAZHJzL2Rvd25yZXYueG1sUEsBAhQA&#10;FAAAAAgAh07iQGwcyfZlAgAAxQQAAA4AAAAAAAAAAQAgAAAAJgEAAGRycy9lMm9Eb2MueG1sUEsF&#10;BgAAAAAGAAYAWQEAAP0FAAAAAA==&#10;">
                <v:fill on="t" focussize="0,0"/>
                <v:stroke weight="0.5pt" color="#000000 [3204]" joinstyle="round"/>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36"/>
                          <w:szCs w:val="36"/>
                        </w:rPr>
                      </w:pPr>
                      <w:r>
                        <w:rPr>
                          <w:rFonts w:hint="eastAsia" w:ascii="仿宋_GB2312" w:hAnsi="Times New Roman" w:eastAsia="仿宋_GB2312" w:cs="DengXian-Regular"/>
                          <w:sz w:val="24"/>
                          <w:szCs w:val="36"/>
                        </w:rPr>
                        <w:t>图</w:t>
                      </w:r>
                      <w:r>
                        <w:rPr>
                          <w:rFonts w:hint="eastAsia" w:ascii="仿宋_GB2312" w:hAnsi="Times New Roman" w:eastAsia="仿宋_GB2312" w:cs="DengXian-Regular"/>
                          <w:sz w:val="24"/>
                          <w:szCs w:val="36"/>
                          <w:lang w:eastAsia="zh-CN"/>
                        </w:rPr>
                        <w:t>六</w:t>
                      </w:r>
                      <w:r>
                        <w:rPr>
                          <w:rFonts w:hint="eastAsia" w:ascii="仿宋_GB2312" w:hAnsi="Times New Roman" w:eastAsia="仿宋_GB2312" w:cs="DengXian-Regular"/>
                          <w:sz w:val="24"/>
                          <w:szCs w:val="36"/>
                        </w:rPr>
                        <w:t>：财政拨款支出决算结构（按功能分类）</w:t>
                      </w:r>
                    </w:p>
                    <w:p/>
                  </w:txbxContent>
                </v:textbox>
              </v:shape>
            </w:pict>
          </mc:Fallback>
        </mc:AlternateContent>
      </w:r>
      <w:r>
        <w:rPr>
          <w:rFonts w:hint="eastAsia" w:ascii="楷体_GB2312" w:hAnsi="Times New Roman" w:eastAsia="楷体_GB2312" w:cs="DengXian-Bold"/>
          <w:b/>
          <w:bCs/>
          <w:sz w:val="32"/>
          <w:szCs w:val="32"/>
          <w:lang w:eastAsia="zh-CN"/>
        </w:rPr>
        <w:drawing>
          <wp:anchor distT="0" distB="0" distL="114300" distR="114300" simplePos="0" relativeHeight="251699200" behindDoc="0" locked="0" layoutInCell="1" allowOverlap="1">
            <wp:simplePos x="0" y="0"/>
            <wp:positionH relativeFrom="column">
              <wp:posOffset>1062990</wp:posOffset>
            </wp:positionH>
            <wp:positionV relativeFrom="paragraph">
              <wp:posOffset>53340</wp:posOffset>
            </wp:positionV>
            <wp:extent cx="3815715" cy="2149475"/>
            <wp:effectExtent l="5080" t="5080" r="4445" b="9525"/>
            <wp:wrapTopAndBottom/>
            <wp:docPr id="41" name="图表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ind w:left="420" w:left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2787.73</w:t>
      </w:r>
      <w:r>
        <w:rPr>
          <w:rFonts w:hint="eastAsia" w:ascii="仿宋_GB2312" w:hAnsi="Times New Roman" w:eastAsia="仿宋_GB2312" w:cs="DengXian-Regular"/>
          <w:sz w:val="32"/>
          <w:szCs w:val="32"/>
        </w:rPr>
        <w:t>万元，其中：人员经费</w:t>
      </w:r>
      <w:r>
        <w:rPr>
          <w:rFonts w:hint="eastAsia" w:ascii="仿宋_GB2312" w:hAnsi="Times New Roman" w:eastAsia="仿宋_GB2312" w:cs="DengXian-Regular"/>
          <w:sz w:val="32"/>
          <w:szCs w:val="32"/>
          <w:lang w:val="en-US" w:eastAsia="zh-CN"/>
        </w:rPr>
        <w:t>2373.04</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414.69</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仿宋_GB2312" w:hAnsi="Times New Roman" w:eastAsia="仿宋_GB2312" w:cs="DengXian-Regular"/>
          <w:sz w:val="32"/>
          <w:szCs w:val="32"/>
          <w:highlight w:val="yellow"/>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79.68</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107.93</w:t>
      </w:r>
      <w:r>
        <w:rPr>
          <w:rFonts w:hint="eastAsia" w:ascii="仿宋_GB2312" w:hAnsi="Times New Roman" w:eastAsia="仿宋_GB2312" w:cs="DengXian-Regular"/>
          <w:sz w:val="32"/>
          <w:szCs w:val="32"/>
        </w:rPr>
        <w:t>%,较预</w:t>
      </w:r>
      <w:r>
        <w:rPr>
          <w:rFonts w:hint="eastAsia" w:ascii="仿宋_GB2312" w:hAnsi="Times New Roman" w:eastAsia="仿宋_GB2312" w:cs="DengXian-Regular"/>
          <w:sz w:val="32"/>
          <w:szCs w:val="32"/>
          <w:lang w:eastAsia="zh-CN"/>
        </w:rPr>
        <w:t>算减少</w:t>
      </w:r>
      <w:r>
        <w:rPr>
          <w:rFonts w:hint="eastAsia" w:ascii="仿宋_GB2312" w:hAnsi="Times New Roman" w:eastAsia="仿宋_GB2312" w:cs="DengXian-Regular"/>
          <w:sz w:val="32"/>
          <w:szCs w:val="32"/>
          <w:lang w:val="en-US" w:eastAsia="zh-CN"/>
        </w:rPr>
        <w:t>6.32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降低</w:t>
      </w:r>
      <w:r>
        <w:rPr>
          <w:rFonts w:hint="eastAsia" w:ascii="仿宋_GB2312" w:hAnsi="Times New Roman" w:eastAsia="仿宋_GB2312" w:cs="DengXian-Regular"/>
          <w:sz w:val="32"/>
          <w:szCs w:val="32"/>
          <w:lang w:val="en-US" w:eastAsia="zh-CN"/>
        </w:rPr>
        <w:t>7.35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；较2018年度增加</w:t>
      </w:r>
      <w:r>
        <w:rPr>
          <w:rFonts w:hint="eastAsia" w:ascii="仿宋_GB2312" w:hAnsi="Times New Roman" w:eastAsia="仿宋_GB2312" w:cs="DengXian-Regular"/>
          <w:sz w:val="32"/>
          <w:szCs w:val="32"/>
          <w:lang w:val="en-US" w:eastAsia="zh-CN"/>
        </w:rPr>
        <w:t>25.33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46.61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机构改革，单位合并，费用增加</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，主要是未发生此项支出</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，主要是未发生此项支出</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79.68</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6.32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降低</w:t>
      </w:r>
      <w:r>
        <w:rPr>
          <w:rFonts w:hint="eastAsia" w:ascii="仿宋_GB2312" w:hAnsi="Times New Roman" w:eastAsia="仿宋_GB2312" w:cs="DengXian-Regular"/>
          <w:sz w:val="32"/>
          <w:szCs w:val="32"/>
          <w:lang w:val="en-US" w:eastAsia="zh-CN"/>
        </w:rPr>
        <w:t>7.35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6.05</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增长</w:t>
      </w:r>
      <w:r>
        <w:rPr>
          <w:rFonts w:hint="eastAsia" w:ascii="仿宋_GB2312" w:hAnsi="Times New Roman" w:eastAsia="仿宋_GB2312" w:cs="DengXian-Regular"/>
          <w:sz w:val="32"/>
          <w:szCs w:val="32"/>
          <w:lang w:val="en-US" w:eastAsia="zh-CN"/>
        </w:rPr>
        <w:t>8.22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机构改革，与质监局合并</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color w:val="000000"/>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未发生“公务用车购置”经费支出；较上年增加0万元，增长0%,主要是未发生“公务用车购置”经费支出</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23</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6.32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7.35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6.05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8.22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机构改革，与质监局合并，人员增加</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after="0"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。组织对2019年度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“另册人员经费”</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88</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 对</w:t>
      </w:r>
      <w:r>
        <w:rPr>
          <w:rFonts w:hint="eastAsia" w:ascii="仿宋_GB2312" w:hAnsi="仿宋_GB2312" w:eastAsia="仿宋_GB2312" w:cs="仿宋_GB2312"/>
          <w:sz w:val="32"/>
          <w:szCs w:val="32"/>
          <w:lang w:eastAsia="zh-CN"/>
        </w:rPr>
        <w:t>“另册人员经费”</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个项目绩效自评结果。</w:t>
      </w:r>
    </w:p>
    <w:p>
      <w:pPr>
        <w:numPr>
          <w:ilvl w:val="0"/>
          <w:numId w:val="0"/>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另册人员经费</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另册人员经费</w:t>
      </w:r>
      <w:r>
        <w:rPr>
          <w:rFonts w:hint="eastAsia" w:ascii="仿宋_GB2312" w:hAnsi="仿宋_GB2312" w:eastAsia="仿宋_GB2312" w:cs="仿宋_GB2312"/>
          <w:sz w:val="32"/>
          <w:szCs w:val="32"/>
        </w:rPr>
        <w:t>项目绩效项目自评得分为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88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88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提高质量监管能力</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满足另册人员管理要求</w:t>
      </w:r>
      <w:r>
        <w:rPr>
          <w:rFonts w:hint="eastAsia" w:ascii="仿宋_GB2312" w:hAnsi="仿宋_GB2312" w:eastAsia="仿宋_GB2312" w:cs="仿宋_GB2312"/>
          <w:sz w:val="32"/>
          <w:szCs w:val="32"/>
        </w:rPr>
        <w:t>。下一步改进措施：一是</w:t>
      </w:r>
      <w:r>
        <w:rPr>
          <w:rFonts w:hint="eastAsia" w:ascii="仿宋_GB2312" w:hAnsi="仿宋_GB2312" w:eastAsia="仿宋_GB2312" w:cs="仿宋_GB2312"/>
          <w:sz w:val="32"/>
          <w:szCs w:val="32"/>
          <w:lang w:eastAsia="zh-CN"/>
        </w:rPr>
        <w:t>继续做好满足另册人员管理要求</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继续提高质量监管能力</w:t>
      </w:r>
      <w:r>
        <w:rPr>
          <w:rFonts w:hint="eastAsia" w:ascii="仿宋_GB2312" w:hAnsi="仿宋_GB2312" w:eastAsia="仿宋_GB2312" w:cs="仿宋_GB2312"/>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after="0"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414.69</w:t>
      </w:r>
      <w:r>
        <w:rPr>
          <w:rFonts w:hint="eastAsia" w:ascii="仿宋_GB2312" w:hAnsi="Times New Roman" w:eastAsia="仿宋_GB2312" w:cs="DengXian-Regular"/>
          <w:sz w:val="32"/>
          <w:szCs w:val="32"/>
        </w:rPr>
        <w:t>万元，比2018年度</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53.61</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降低</w:t>
      </w:r>
      <w:r>
        <w:rPr>
          <w:rFonts w:hint="eastAsia" w:ascii="仿宋_GB2312" w:hAnsi="Times New Roman" w:eastAsia="仿宋_GB2312" w:cs="DengXian-Regular"/>
          <w:sz w:val="32"/>
          <w:szCs w:val="32"/>
          <w:lang w:val="en-US" w:eastAsia="zh-CN"/>
        </w:rPr>
        <w:t>11.45</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节约</w:t>
      </w:r>
      <w:r>
        <w:rPr>
          <w:rFonts w:hint="eastAsia" w:ascii="仿宋_GB2312" w:eastAsia="仿宋_GB2312" w:cs="DengXian-Regular"/>
          <w:sz w:val="32"/>
          <w:szCs w:val="32"/>
          <w:lang w:eastAsia="zh-CN"/>
        </w:rPr>
        <w:t>开支</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50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50</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23</w:t>
      </w:r>
      <w:r>
        <w:rPr>
          <w:rFonts w:hint="eastAsia" w:ascii="仿宋_GB2312" w:hAnsi="Times New Roman" w:eastAsia="仿宋_GB2312" w:cs="DengXian-Regular"/>
          <w:sz w:val="32"/>
          <w:szCs w:val="32"/>
        </w:rPr>
        <w:t>辆。其中，副部（省）级及以上领导用车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本部门2019年度政府性基金预算财政拨款</w:t>
      </w:r>
      <w:r>
        <w:rPr>
          <w:rFonts w:hint="eastAsia" w:ascii="仿宋_GB2312" w:hAnsi="Times New Roman" w:eastAsia="仿宋_GB2312" w:cs="DengXian-Regular"/>
          <w:sz w:val="32"/>
          <w:szCs w:val="32"/>
          <w:lang w:eastAsia="zh-CN"/>
        </w:rPr>
        <w:t>、国有资本经营预算财政拨款</w:t>
      </w:r>
      <w:r>
        <w:rPr>
          <w:rFonts w:hint="eastAsia" w:ascii="仿宋_GB2312" w:hAnsi="Times New Roman" w:eastAsia="仿宋_GB2312" w:cs="DengXian-Regular"/>
          <w:sz w:val="32"/>
          <w:szCs w:val="32"/>
        </w:rPr>
        <w:t>无收支及结转结余情况，故</w:t>
      </w:r>
      <w:r>
        <w:rPr>
          <w:rFonts w:hint="eastAsia" w:ascii="仿宋_GB2312" w:hAnsi="Times New Roman" w:eastAsia="仿宋_GB2312" w:cs="DengXian-Regular"/>
          <w:sz w:val="32"/>
          <w:szCs w:val="32"/>
          <w:lang w:val="en-US" w:eastAsia="zh-CN"/>
        </w:rPr>
        <w:t>8、9</w:t>
      </w:r>
      <w:r>
        <w:rPr>
          <w:rFonts w:hint="eastAsia" w:ascii="仿宋_GB2312" w:hAnsi="Times New Roman" w:eastAsia="仿宋_GB2312" w:cs="DengXian-Regular"/>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Borders>
            <w:top w:val="none" w:sz="0" w:space="0"/>
            <w:left w:val="none" w:sz="0" w:space="0"/>
            <w:bottom w:val="none" w:sz="0" w:space="0"/>
            <w:right w:val="none" w:sz="0" w:space="0"/>
          </w:pgBorders>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7936"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7936;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6"/>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
      <w:pPr>
        <w:rPr>
          <w:rFonts w:ascii="仿宋_GB2312" w:hAnsi="宋体" w:eastAsia="仿宋_GB2312" w:cs="MS-UIGothic,Bold"/>
          <w:bCs/>
          <w:sz w:val="32"/>
          <w:szCs w:val="32"/>
        </w:r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
    <w:p/>
    <w:p/>
    <w:p/>
    <w:p>
      <w:pPr>
        <w:tabs>
          <w:tab w:val="left" w:pos="235"/>
        </w:tabs>
        <w:jc w:val="left"/>
        <w:sectPr>
          <w:headerReference r:id="rId21" w:type="default"/>
          <w:pgSz w:w="11906" w:h="16838"/>
          <w:pgMar w:top="2098" w:right="1474" w:bottom="1985" w:left="1588" w:header="851" w:footer="992" w:gutter="0"/>
          <w:pgBorders>
            <w:top w:val="none" w:sz="0" w:space="0"/>
            <w:left w:val="none" w:sz="0" w:space="0"/>
            <w:bottom w:val="none" w:sz="0" w:space="0"/>
            <w:right w:val="none" w:sz="0" w:space="0"/>
          </w:pgBorders>
          <w:pgNumType w:fmt="numberInDash"/>
          <w:cols w:space="425" w:num="1"/>
          <w:docGrid w:type="lines" w:linePitch="312" w:charSpace="0"/>
        </w:sectPr>
      </w:pPr>
      <w:r>
        <w:rPr>
          <w:sz w:val="72"/>
        </w:rPr>
        <mc:AlternateContent>
          <mc:Choice Requires="wps">
            <w:drawing>
              <wp:anchor distT="0" distB="0" distL="114300" distR="114300" simplePos="0" relativeHeight="251688960"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88960;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6"/>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平山县市场监督管理局</w:t>
            </w: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w:t>
            </w:r>
            <w:r>
              <w:rPr>
                <w:rFonts w:hint="eastAsia" w:ascii="宋体" w:hAnsi="宋体" w:eastAsia="宋体" w:cs="宋体"/>
                <w:color w:val="000000"/>
                <w:kern w:val="0"/>
                <w:sz w:val="18"/>
                <w:szCs w:val="18"/>
                <w:lang w:val="en-US" w:eastAsia="zh-CN" w:bidi="ar"/>
              </w:rPr>
              <w:t>158.86</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3180.36</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18"/>
                <w:szCs w:val="18"/>
                <w:lang w:val="en-US" w:eastAsia="zh-CN" w:bidi="ar"/>
              </w:rPr>
              <w:t>3158.86</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3180.36</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151.74</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130.25</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18"/>
                <w:szCs w:val="18"/>
                <w:lang w:val="en-US" w:eastAsia="zh-CN" w:bidi="ar"/>
              </w:rPr>
              <w:t>3310.60</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3310.60</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637" w:type="dxa"/>
        <w:jc w:val="center"/>
        <w:tblLayout w:type="fixed"/>
        <w:tblCellMar>
          <w:top w:w="0" w:type="dxa"/>
          <w:left w:w="0" w:type="dxa"/>
          <w:bottom w:w="0" w:type="dxa"/>
          <w:right w:w="0" w:type="dxa"/>
        </w:tblCellMar>
      </w:tblPr>
      <w:tblGrid>
        <w:gridCol w:w="1065"/>
        <w:gridCol w:w="58"/>
        <w:gridCol w:w="58"/>
        <w:gridCol w:w="1455"/>
        <w:gridCol w:w="1000"/>
        <w:gridCol w:w="1000"/>
        <w:gridCol w:w="1000"/>
        <w:gridCol w:w="1000"/>
        <w:gridCol w:w="1000"/>
        <w:gridCol w:w="1000"/>
        <w:gridCol w:w="1001"/>
      </w:tblGrid>
      <w:tr>
        <w:tblPrEx>
          <w:tblCellMar>
            <w:top w:w="0" w:type="dxa"/>
            <w:left w:w="0" w:type="dxa"/>
            <w:bottom w:w="0" w:type="dxa"/>
            <w:right w:w="0" w:type="dxa"/>
          </w:tblCellMar>
        </w:tblPrEx>
        <w:trPr>
          <w:trHeight w:val="670" w:hRule="atLeast"/>
          <w:jc w:val="center"/>
        </w:trPr>
        <w:tc>
          <w:tcPr>
            <w:tcW w:w="9637" w:type="dxa"/>
            <w:gridSpan w:val="11"/>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10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2636"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平山县市场监督管理局</w:t>
            </w: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263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1181"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81"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81"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63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263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3158.86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3158.86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11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201</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b/>
                <w:bCs/>
                <w:color w:val="000000"/>
                <w:sz w:val="22"/>
                <w:lang w:eastAsia="zh-CN"/>
              </w:rPr>
            </w:pPr>
            <w:r>
              <w:rPr>
                <w:rFonts w:hint="eastAsia" w:ascii="宋体" w:hAnsi="宋体" w:eastAsia="宋体" w:cs="宋体"/>
                <w:b/>
                <w:bCs/>
                <w:color w:val="000000"/>
                <w:sz w:val="16"/>
                <w:szCs w:val="16"/>
                <w:lang w:eastAsia="zh-CN"/>
              </w:rPr>
              <w:t>一般公共服务支出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3158.86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3158.86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20102</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b/>
                <w:bCs/>
                <w:color w:val="000000"/>
                <w:sz w:val="22"/>
                <w:lang w:eastAsia="zh-CN"/>
              </w:rPr>
            </w:pPr>
            <w:r>
              <w:rPr>
                <w:rFonts w:hint="eastAsia" w:ascii="宋体" w:hAnsi="宋体" w:eastAsia="宋体" w:cs="宋体"/>
                <w:b/>
                <w:bCs/>
                <w:color w:val="000000"/>
                <w:sz w:val="20"/>
                <w:szCs w:val="20"/>
                <w:lang w:eastAsia="zh-CN"/>
              </w:rPr>
              <w:t>政协事务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5.00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5.00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2010201</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行政运行</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5.00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5.00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20138</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b/>
                <w:bCs/>
                <w:color w:val="000000"/>
                <w:sz w:val="22"/>
                <w:lang w:eastAsia="zh-CN"/>
              </w:rPr>
            </w:pPr>
            <w:r>
              <w:rPr>
                <w:rFonts w:hint="eastAsia" w:ascii="宋体" w:hAnsi="宋体" w:eastAsia="宋体" w:cs="宋体"/>
                <w:b/>
                <w:bCs/>
                <w:color w:val="000000"/>
                <w:sz w:val="16"/>
                <w:szCs w:val="16"/>
                <w:lang w:eastAsia="zh-CN"/>
              </w:rPr>
              <w:t>市场监督管理事务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3153.86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3153.86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2013801</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行政运行</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2674.06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2674.06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2013802</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16"/>
                <w:szCs w:val="16"/>
                <w:lang w:eastAsia="zh-CN"/>
              </w:rPr>
              <w:t>一般行政管理事务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192.80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192.80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2013804</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16"/>
                <w:szCs w:val="16"/>
                <w:lang w:eastAsia="zh-CN"/>
              </w:rPr>
              <w:t>市场监督管理专项</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69.00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69.00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2013812</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药品事务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2013899</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13"/>
                <w:szCs w:val="13"/>
                <w:lang w:eastAsia="zh-CN"/>
              </w:rPr>
              <w:t>其他市场监督管理事务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198.00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198.00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37"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3625"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平山县市场监督管理局</w:t>
            </w: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3180.36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val="0"/>
                <w:color w:val="000000"/>
                <w:sz w:val="22"/>
                <w:lang w:val="en-US" w:eastAsia="zh-CN"/>
              </w:rPr>
            </w:pPr>
            <w:r>
              <w:rPr>
                <w:rFonts w:hint="eastAsia" w:ascii="宋体" w:hAnsi="宋体" w:eastAsia="宋体" w:cs="宋体"/>
                <w:b/>
                <w:bCs w:val="0"/>
                <w:color w:val="000000"/>
                <w:sz w:val="22"/>
                <w:lang w:val="en-US" w:eastAsia="zh-CN"/>
              </w:rPr>
              <w:t>2787.73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val="0"/>
                <w:color w:val="000000"/>
                <w:sz w:val="22"/>
                <w:lang w:val="en-US" w:eastAsia="zh-CN"/>
              </w:rPr>
            </w:pPr>
            <w:r>
              <w:rPr>
                <w:rFonts w:hint="eastAsia" w:ascii="宋体" w:hAnsi="宋体" w:eastAsia="宋体" w:cs="宋体"/>
                <w:b/>
                <w:bCs w:val="0"/>
                <w:color w:val="000000"/>
                <w:sz w:val="22"/>
                <w:lang w:val="en-US" w:eastAsia="zh-CN"/>
              </w:rPr>
              <w:t>392.62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b/>
                <w:bCs/>
                <w:i w:val="0"/>
                <w:iCs w:val="0"/>
                <w:color w:val="000000"/>
                <w:sz w:val="22"/>
                <w:lang w:val="en-US" w:eastAsia="zh-CN"/>
              </w:rPr>
            </w:pPr>
            <w:r>
              <w:rPr>
                <w:rFonts w:hint="eastAsia" w:ascii="宋体" w:hAnsi="宋体" w:eastAsia="宋体" w:cs="宋体"/>
                <w:b/>
                <w:bCs/>
                <w:i w:val="0"/>
                <w:iCs w:val="0"/>
                <w:color w:val="000000"/>
                <w:sz w:val="22"/>
                <w:lang w:val="en-US" w:eastAsia="zh-CN"/>
              </w:rPr>
              <w:t>201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b/>
                <w:bCs/>
                <w:i w:val="0"/>
                <w:iCs w:val="0"/>
                <w:color w:val="000000"/>
                <w:sz w:val="16"/>
                <w:szCs w:val="16"/>
                <w:lang w:eastAsia="zh-CN"/>
              </w:rPr>
            </w:pPr>
            <w:r>
              <w:rPr>
                <w:rFonts w:hint="eastAsia" w:ascii="宋体" w:hAnsi="宋体" w:eastAsia="宋体" w:cs="宋体"/>
                <w:b/>
                <w:bCs/>
                <w:i w:val="0"/>
                <w:iCs w:val="0"/>
                <w:color w:val="000000"/>
                <w:sz w:val="16"/>
                <w:szCs w:val="16"/>
                <w:lang w:eastAsia="zh-CN"/>
              </w:rPr>
              <w:t>一般公共服务支出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3180.36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2787.73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392.62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bCs/>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b/>
                <w:bCs/>
                <w:i w:val="0"/>
                <w:iCs w:val="0"/>
                <w:color w:val="000000"/>
                <w:sz w:val="22"/>
                <w:lang w:val="en-US" w:eastAsia="zh-CN"/>
              </w:rPr>
            </w:pPr>
            <w:r>
              <w:rPr>
                <w:rFonts w:hint="eastAsia" w:ascii="宋体" w:hAnsi="宋体" w:eastAsia="宋体" w:cs="宋体"/>
                <w:b/>
                <w:bCs/>
                <w:i w:val="0"/>
                <w:iCs w:val="0"/>
                <w:color w:val="000000"/>
                <w:sz w:val="22"/>
                <w:lang w:val="en-US" w:eastAsia="zh-CN"/>
              </w:rPr>
              <w:t>20102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b/>
                <w:bCs/>
                <w:i w:val="0"/>
                <w:iCs w:val="0"/>
                <w:color w:val="000000"/>
                <w:sz w:val="16"/>
                <w:szCs w:val="16"/>
                <w:lang w:eastAsia="zh-CN"/>
              </w:rPr>
            </w:pPr>
            <w:r>
              <w:rPr>
                <w:rFonts w:hint="eastAsia" w:ascii="宋体" w:hAnsi="宋体" w:eastAsia="宋体" w:cs="宋体"/>
                <w:b/>
                <w:bCs/>
                <w:i w:val="0"/>
                <w:iCs w:val="0"/>
                <w:color w:val="000000"/>
                <w:sz w:val="16"/>
                <w:szCs w:val="16"/>
                <w:lang w:eastAsia="zh-CN"/>
              </w:rPr>
              <w:t>政协事务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5.00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5.00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bCs/>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2010201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行政运行</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5.00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5.00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b/>
                <w:bCs/>
                <w:i w:val="0"/>
                <w:iCs w:val="0"/>
                <w:color w:val="000000"/>
                <w:sz w:val="16"/>
                <w:szCs w:val="16"/>
                <w:lang w:val="en-US" w:eastAsia="zh-CN"/>
              </w:rPr>
            </w:pPr>
            <w:r>
              <w:rPr>
                <w:rFonts w:hint="eastAsia" w:ascii="宋体" w:hAnsi="宋体" w:eastAsia="宋体" w:cs="宋体"/>
                <w:b/>
                <w:bCs/>
                <w:i w:val="0"/>
                <w:iCs w:val="0"/>
                <w:color w:val="000000"/>
                <w:sz w:val="22"/>
                <w:lang w:val="en-US" w:eastAsia="zh-CN"/>
              </w:rPr>
              <w:t>20138</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b/>
                <w:bCs/>
                <w:i w:val="0"/>
                <w:iCs w:val="0"/>
                <w:color w:val="000000"/>
                <w:sz w:val="16"/>
                <w:szCs w:val="16"/>
                <w:lang w:eastAsia="zh-CN"/>
              </w:rPr>
            </w:pPr>
            <w:r>
              <w:rPr>
                <w:rFonts w:hint="eastAsia" w:ascii="宋体" w:hAnsi="宋体" w:eastAsia="宋体" w:cs="宋体"/>
                <w:b/>
                <w:bCs/>
                <w:i w:val="0"/>
                <w:iCs w:val="0"/>
                <w:color w:val="000000"/>
                <w:sz w:val="16"/>
                <w:szCs w:val="16"/>
                <w:lang w:eastAsia="zh-CN"/>
              </w:rPr>
              <w:t>市场监督管理事务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b/>
                <w:bCs/>
                <w:color w:val="000000"/>
                <w:sz w:val="22"/>
                <w:lang w:val="en-US" w:eastAsia="zh-CN"/>
              </w:rPr>
              <w:t>3175.36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2782.73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392.62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2013801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行政运行</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2609.93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2609.93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2013802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16"/>
                <w:szCs w:val="16"/>
                <w:lang w:eastAsia="zh-CN"/>
              </w:rPr>
            </w:pPr>
            <w:r>
              <w:rPr>
                <w:rFonts w:hint="eastAsia" w:ascii="宋体" w:hAnsi="宋体" w:eastAsia="宋体" w:cs="宋体"/>
                <w:color w:val="000000"/>
                <w:sz w:val="16"/>
                <w:szCs w:val="16"/>
                <w:lang w:eastAsia="zh-CN"/>
              </w:rPr>
              <w:t>一般行政管理事务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192.80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172.80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2013804</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16"/>
                <w:szCs w:val="16"/>
                <w:lang w:eastAsia="zh-CN"/>
              </w:rPr>
            </w:pPr>
            <w:r>
              <w:rPr>
                <w:rFonts w:hint="eastAsia" w:ascii="宋体" w:hAnsi="宋体" w:eastAsia="宋体" w:cs="宋体"/>
                <w:color w:val="000000"/>
                <w:sz w:val="16"/>
                <w:szCs w:val="16"/>
                <w:lang w:eastAsia="zh-CN"/>
              </w:rPr>
              <w:t>市场监督管理专项</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168.52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168.52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2013812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药品事务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2013899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13"/>
                <w:szCs w:val="13"/>
                <w:lang w:eastAsia="zh-CN"/>
              </w:rPr>
              <w:t>其他市场监督管理事务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184.10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184.105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9520" w:type="dxa"/>
        <w:jc w:val="center"/>
        <w:tblLayout w:type="fixed"/>
        <w:tblCellMar>
          <w:top w:w="0" w:type="dxa"/>
          <w:left w:w="0" w:type="dxa"/>
          <w:bottom w:w="0" w:type="dxa"/>
          <w:right w:w="0" w:type="dxa"/>
        </w:tblCellMar>
      </w:tblPr>
      <w:tblGrid>
        <w:gridCol w:w="2922"/>
        <w:gridCol w:w="425"/>
        <w:gridCol w:w="662"/>
        <w:gridCol w:w="2946"/>
        <w:gridCol w:w="507"/>
        <w:gridCol w:w="707"/>
        <w:gridCol w:w="672"/>
        <w:gridCol w:w="67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平山县市场监督管理局</w:t>
            </w: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511"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67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67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7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7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3158.86</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3180.36</w:t>
            </w: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3180.36</w:t>
            </w: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18"/>
                <w:szCs w:val="18"/>
                <w:lang w:val="en-US" w:eastAsia="zh-CN"/>
              </w:rPr>
              <w:t>3158.86</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3180.36</w:t>
            </w: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3180.36</w:t>
            </w: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151.74</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130.25</w:t>
            </w: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130.25</w:t>
            </w: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151.74</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63"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3310.60</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color w:val="000000"/>
                <w:sz w:val="18"/>
                <w:szCs w:val="18"/>
                <w:lang w:val="en-US" w:eastAsia="zh-CN"/>
              </w:rPr>
            </w:pPr>
            <w:r>
              <w:rPr>
                <w:rFonts w:hint="eastAsia" w:ascii="宋体" w:hAnsi="宋体" w:eastAsia="宋体" w:cs="宋体"/>
                <w:b/>
                <w:color w:val="000000"/>
                <w:kern w:val="0"/>
                <w:sz w:val="22"/>
                <w:lang w:val="en-US" w:eastAsia="zh-CN" w:bidi="ar"/>
              </w:rPr>
              <w:t>总计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3310.60</w:t>
            </w:r>
          </w:p>
        </w:tc>
        <w:tc>
          <w:tcPr>
            <w:tcW w:w="6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3310.60</w:t>
            </w:r>
          </w:p>
        </w:tc>
        <w:tc>
          <w:tcPr>
            <w:tcW w:w="6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9990" w:type="dxa"/>
        <w:jc w:val="center"/>
        <w:tblLayout w:type="fixed"/>
        <w:tblCellMar>
          <w:top w:w="0" w:type="dxa"/>
          <w:left w:w="0" w:type="dxa"/>
          <w:bottom w:w="0" w:type="dxa"/>
          <w:right w:w="0" w:type="dxa"/>
        </w:tblCellMar>
      </w:tblPr>
      <w:tblGrid>
        <w:gridCol w:w="1174"/>
        <w:gridCol w:w="67"/>
        <w:gridCol w:w="67"/>
        <w:gridCol w:w="2212"/>
        <w:gridCol w:w="1812"/>
        <w:gridCol w:w="2329"/>
        <w:gridCol w:w="2329"/>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1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81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3520"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平山县市场监督管理局</w:t>
            </w:r>
          </w:p>
        </w:tc>
        <w:tc>
          <w:tcPr>
            <w:tcW w:w="181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352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47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1174"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346"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81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1174"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46"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1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74"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46"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1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52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352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3180.36</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2787.73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392.62</w:t>
            </w:r>
          </w:p>
        </w:tc>
      </w:tr>
      <w:tr>
        <w:tblPrEx>
          <w:tblCellMar>
            <w:top w:w="0" w:type="dxa"/>
            <w:left w:w="0" w:type="dxa"/>
            <w:bottom w:w="0" w:type="dxa"/>
            <w:right w:w="0" w:type="dxa"/>
          </w:tblCellMar>
        </w:tblPrEx>
        <w:trPr>
          <w:trHeight w:val="308" w:hRule="atLeast"/>
          <w:jc w:val="center"/>
        </w:trPr>
        <w:tc>
          <w:tcPr>
            <w:tcW w:w="117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201</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b/>
                <w:bCs/>
                <w:color w:val="000000"/>
                <w:sz w:val="22"/>
                <w:lang w:eastAsia="zh-CN"/>
              </w:rPr>
            </w:pPr>
            <w:r>
              <w:rPr>
                <w:rFonts w:hint="eastAsia" w:ascii="宋体" w:hAnsi="宋体" w:eastAsia="宋体" w:cs="宋体"/>
                <w:b/>
                <w:bCs/>
                <w:color w:val="000000"/>
                <w:sz w:val="22"/>
                <w:lang w:eastAsia="zh-CN"/>
              </w:rPr>
              <w:t>一般公共服务支出</w:t>
            </w:r>
          </w:p>
        </w:tc>
        <w:tc>
          <w:tcPr>
            <w:tcW w:w="1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3180.36</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2787.73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392.62</w:t>
            </w:r>
          </w:p>
        </w:tc>
      </w:tr>
      <w:tr>
        <w:tblPrEx>
          <w:tblCellMar>
            <w:top w:w="0" w:type="dxa"/>
            <w:left w:w="0" w:type="dxa"/>
            <w:bottom w:w="0" w:type="dxa"/>
            <w:right w:w="0" w:type="dxa"/>
          </w:tblCellMar>
        </w:tblPrEx>
        <w:trPr>
          <w:trHeight w:val="90" w:hRule="atLeast"/>
          <w:jc w:val="center"/>
        </w:trPr>
        <w:tc>
          <w:tcPr>
            <w:tcW w:w="117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20102</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b/>
                <w:bCs/>
                <w:color w:val="000000"/>
                <w:sz w:val="22"/>
                <w:lang w:eastAsia="zh-CN"/>
              </w:rPr>
            </w:pPr>
            <w:r>
              <w:rPr>
                <w:rFonts w:hint="eastAsia" w:ascii="宋体" w:hAnsi="宋体" w:eastAsia="宋体" w:cs="宋体"/>
                <w:b/>
                <w:bCs/>
                <w:color w:val="000000"/>
                <w:sz w:val="22"/>
                <w:lang w:eastAsia="zh-CN"/>
              </w:rPr>
              <w:t>政协事务</w:t>
            </w:r>
          </w:p>
        </w:tc>
        <w:tc>
          <w:tcPr>
            <w:tcW w:w="1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5.00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5.00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117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2010201</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color w:val="000000"/>
                <w:sz w:val="22"/>
                <w:lang w:eastAsia="zh-CN"/>
              </w:rPr>
            </w:pPr>
            <w:r>
              <w:rPr>
                <w:rFonts w:hint="eastAsia" w:ascii="宋体" w:hAnsi="宋体" w:eastAsia="宋体" w:cs="宋体"/>
                <w:color w:val="000000"/>
                <w:sz w:val="22"/>
                <w:lang w:eastAsia="zh-CN"/>
              </w:rPr>
              <w:t>行政运行</w:t>
            </w:r>
          </w:p>
        </w:tc>
        <w:tc>
          <w:tcPr>
            <w:tcW w:w="1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5.00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5.00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7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20138</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b/>
                <w:bCs/>
                <w:color w:val="000000"/>
                <w:sz w:val="22"/>
                <w:lang w:eastAsia="zh-CN"/>
              </w:rPr>
            </w:pPr>
            <w:r>
              <w:rPr>
                <w:rFonts w:hint="eastAsia" w:ascii="宋体" w:hAnsi="宋体" w:eastAsia="宋体" w:cs="宋体"/>
                <w:b/>
                <w:bCs/>
                <w:color w:val="000000"/>
                <w:sz w:val="22"/>
                <w:lang w:eastAsia="zh-CN"/>
              </w:rPr>
              <w:t>市场监督管理事务</w:t>
            </w:r>
          </w:p>
        </w:tc>
        <w:tc>
          <w:tcPr>
            <w:tcW w:w="1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3175.36</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2782.73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392.62</w:t>
            </w:r>
          </w:p>
        </w:tc>
      </w:tr>
      <w:tr>
        <w:tblPrEx>
          <w:tblCellMar>
            <w:top w:w="0" w:type="dxa"/>
            <w:left w:w="0" w:type="dxa"/>
            <w:bottom w:w="0" w:type="dxa"/>
            <w:right w:w="0" w:type="dxa"/>
          </w:tblCellMar>
        </w:tblPrEx>
        <w:trPr>
          <w:trHeight w:val="308" w:hRule="atLeast"/>
          <w:jc w:val="center"/>
        </w:trPr>
        <w:tc>
          <w:tcPr>
            <w:tcW w:w="117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2013801</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color w:val="000000"/>
                <w:sz w:val="22"/>
                <w:lang w:eastAsia="zh-CN"/>
              </w:rPr>
            </w:pPr>
            <w:r>
              <w:rPr>
                <w:rFonts w:hint="eastAsia" w:ascii="宋体" w:hAnsi="宋体" w:eastAsia="宋体" w:cs="宋体"/>
                <w:color w:val="000000"/>
                <w:sz w:val="22"/>
                <w:lang w:eastAsia="zh-CN"/>
              </w:rPr>
              <w:t>行政运行</w:t>
            </w:r>
          </w:p>
        </w:tc>
        <w:tc>
          <w:tcPr>
            <w:tcW w:w="1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2609.93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2609.93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2013802</w:t>
            </w:r>
          </w:p>
        </w:tc>
        <w:tc>
          <w:tcPr>
            <w:tcW w:w="234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color w:val="000000"/>
                <w:sz w:val="22"/>
                <w:lang w:eastAsia="zh-CN"/>
              </w:rPr>
            </w:pPr>
            <w:r>
              <w:rPr>
                <w:rFonts w:hint="eastAsia" w:ascii="宋体" w:hAnsi="宋体" w:eastAsia="宋体" w:cs="宋体"/>
                <w:color w:val="000000"/>
                <w:sz w:val="22"/>
                <w:lang w:eastAsia="zh-CN"/>
              </w:rPr>
              <w:t>一般行政管理事务</w:t>
            </w:r>
          </w:p>
        </w:tc>
        <w:tc>
          <w:tcPr>
            <w:tcW w:w="1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192.80</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172.80</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20.00</w:t>
            </w:r>
          </w:p>
        </w:tc>
      </w:tr>
      <w:tr>
        <w:tblPrEx>
          <w:tblCellMar>
            <w:top w:w="0" w:type="dxa"/>
            <w:left w:w="0" w:type="dxa"/>
            <w:bottom w:w="0" w:type="dxa"/>
            <w:right w:w="0" w:type="dxa"/>
          </w:tblCellMar>
        </w:tblPrEx>
        <w:trPr>
          <w:trHeight w:val="308" w:hRule="atLeast"/>
          <w:jc w:val="center"/>
        </w:trPr>
        <w:tc>
          <w:tcPr>
            <w:tcW w:w="11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2013804</w:t>
            </w:r>
          </w:p>
        </w:tc>
        <w:tc>
          <w:tcPr>
            <w:tcW w:w="234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color w:val="000000"/>
                <w:sz w:val="22"/>
                <w:lang w:eastAsia="zh-CN"/>
              </w:rPr>
            </w:pPr>
            <w:r>
              <w:rPr>
                <w:rFonts w:hint="eastAsia" w:ascii="宋体" w:hAnsi="宋体" w:eastAsia="宋体" w:cs="宋体"/>
                <w:color w:val="000000"/>
                <w:sz w:val="22"/>
                <w:lang w:eastAsia="zh-CN"/>
              </w:rPr>
              <w:t>市场监管管理专项</w:t>
            </w:r>
          </w:p>
        </w:tc>
        <w:tc>
          <w:tcPr>
            <w:tcW w:w="1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168.52</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168.52</w:t>
            </w:r>
          </w:p>
        </w:tc>
      </w:tr>
      <w:tr>
        <w:tblPrEx>
          <w:tblCellMar>
            <w:top w:w="0" w:type="dxa"/>
            <w:left w:w="0" w:type="dxa"/>
            <w:bottom w:w="0" w:type="dxa"/>
            <w:right w:w="0" w:type="dxa"/>
          </w:tblCellMar>
        </w:tblPrEx>
        <w:trPr>
          <w:trHeight w:val="308" w:hRule="atLeast"/>
          <w:jc w:val="center"/>
        </w:trPr>
        <w:tc>
          <w:tcPr>
            <w:tcW w:w="11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2013812</w:t>
            </w:r>
          </w:p>
        </w:tc>
        <w:tc>
          <w:tcPr>
            <w:tcW w:w="234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color w:val="000000"/>
                <w:sz w:val="22"/>
                <w:lang w:eastAsia="zh-CN"/>
              </w:rPr>
            </w:pPr>
            <w:r>
              <w:rPr>
                <w:rFonts w:hint="eastAsia" w:ascii="宋体" w:hAnsi="宋体" w:eastAsia="宋体" w:cs="宋体"/>
                <w:color w:val="000000"/>
                <w:sz w:val="22"/>
                <w:lang w:eastAsia="zh-CN"/>
              </w:rPr>
              <w:t>药品事务</w:t>
            </w:r>
          </w:p>
        </w:tc>
        <w:tc>
          <w:tcPr>
            <w:tcW w:w="1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20.00</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20.00</w:t>
            </w:r>
          </w:p>
        </w:tc>
      </w:tr>
      <w:tr>
        <w:tblPrEx>
          <w:tblCellMar>
            <w:top w:w="0" w:type="dxa"/>
            <w:left w:w="0" w:type="dxa"/>
            <w:bottom w:w="0" w:type="dxa"/>
            <w:right w:w="0" w:type="dxa"/>
          </w:tblCellMar>
        </w:tblPrEx>
        <w:trPr>
          <w:trHeight w:val="308" w:hRule="atLeast"/>
          <w:jc w:val="center"/>
        </w:trPr>
        <w:tc>
          <w:tcPr>
            <w:tcW w:w="11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2013899</w:t>
            </w:r>
          </w:p>
        </w:tc>
        <w:tc>
          <w:tcPr>
            <w:tcW w:w="234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color w:val="000000"/>
                <w:sz w:val="22"/>
                <w:lang w:eastAsia="zh-CN"/>
              </w:rPr>
            </w:pPr>
            <w:r>
              <w:rPr>
                <w:rFonts w:hint="eastAsia" w:ascii="宋体" w:hAnsi="宋体" w:eastAsia="宋体" w:cs="宋体"/>
                <w:color w:val="000000"/>
                <w:sz w:val="22"/>
                <w:lang w:eastAsia="zh-CN"/>
              </w:rPr>
              <w:t>其他市场监督管理事务</w:t>
            </w:r>
          </w:p>
        </w:tc>
        <w:tc>
          <w:tcPr>
            <w:tcW w:w="1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184.10</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184.10</w:t>
            </w:r>
          </w:p>
        </w:tc>
      </w:tr>
    </w:tbl>
    <w:p>
      <w:r>
        <w:br w:type="page"/>
      </w:r>
    </w:p>
    <w:tbl>
      <w:tblPr>
        <w:tblStyle w:val="6"/>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339" w:hRule="atLeast"/>
          <w:jc w:val="center"/>
        </w:trPr>
        <w:tc>
          <w:tcPr>
            <w:tcW w:w="2828"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平山县市场监督管理局</w:t>
            </w: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2231.19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376.35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1012.38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177.64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46.56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33.8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24.81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38.34</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97.07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5.97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38.34</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318.98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10.67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53.39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5.84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224.57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18.27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6.01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246.86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45.76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310.55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31.85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2.05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14.14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17.71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center"/>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75.68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2373.04</w:t>
            </w:r>
          </w:p>
        </w:tc>
        <w:tc>
          <w:tcPr>
            <w:tcW w:w="565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414.69</w:t>
            </w:r>
          </w:p>
        </w:tc>
      </w:tr>
    </w:tbl>
    <w:p>
      <w:r>
        <w:br w:type="page"/>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2953"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平山县市场监督管理局</w:t>
            </w: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86</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86</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86</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79.68</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79.68</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79.68</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2610"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平山县市场监督管理局</w:t>
            </w: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本部门本年度无相关收入（或支出、收支及结转结余等）情况，按要求空表列示。</w:t>
      </w:r>
      <w:r>
        <w:br w:type="page"/>
      </w:r>
    </w:p>
    <w:tbl>
      <w:tblPr>
        <w:tblStyle w:val="6"/>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5234"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平山县市场监督管理局</w:t>
            </w: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本部门本年度无相关收入（或支出、收支及结转结余等）情况，按要求空表列示。</w:t>
      </w:r>
      <w:r>
        <w:br w:type="page"/>
      </w:r>
    </w:p>
    <w:p>
      <w:r>
        <mc:AlternateContent>
          <mc:Choice Requires="wps">
            <w:drawing>
              <wp:anchor distT="0" distB="0" distL="114300" distR="114300" simplePos="0" relativeHeight="251689984"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89984;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3" w:type="first"/>
      <w:headerReference r:id="rId22" w:type="default"/>
      <w:footerReference r:id="rId24" w:type="default"/>
      <w:pgSz w:w="11906" w:h="16838"/>
      <w:pgMar w:top="1701" w:right="1417" w:bottom="1281" w:left="1417" w:header="851" w:footer="992" w:gutter="0"/>
      <w:pgBorders>
        <w:top w:val="none" w:sz="0" w:space="0"/>
        <w:left w:val="none" w:sz="0" w:space="0"/>
        <w:bottom w:val="none" w:sz="0" w:space="0"/>
        <w:right w:val="none" w:sz="0" w:space="0"/>
      </w:pgBorders>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decorative"/>
    <w:pitch w:val="default"/>
    <w:sig w:usb0="00000000" w:usb1="00000000" w:usb2="00000000" w:usb3="00000000" w:csb0="00000000" w:csb1="00000000"/>
  </w:font>
  <w:font w:name="楷体_GB2312">
    <w:altName w:val="楷体"/>
    <w:panose1 w:val="02010609030101010101"/>
    <w:charset w:val="86"/>
    <w:family w:val="decorative"/>
    <w:pitch w:val="default"/>
    <w:sig w:usb0="00000000" w:usb1="00000000" w:usb2="00000000" w:usb3="00000000" w:csb0="00000000" w:csb1="00000000"/>
  </w:font>
  <w:font w:name="Yu Gothic UI Semibold">
    <w:altName w:val="Meiryo UI"/>
    <w:panose1 w:val="020B0700000000000000"/>
    <w:charset w:val="80"/>
    <w:family w:val="roman"/>
    <w:pitch w:val="default"/>
    <w:sig w:usb0="00000000" w:usb1="00000000" w:usb2="00000016" w:usb3="00000000" w:csb0="2002009F" w:csb1="00000000"/>
  </w:font>
  <w:font w:name="思源黑体 HW Bold">
    <w:altName w:val="宋体"/>
    <w:panose1 w:val="00000000000000000000"/>
    <w:charset w:val="86"/>
    <w:family w:val="roman"/>
    <w:pitch w:val="default"/>
    <w:sig w:usb0="00000000" w:usb1="00000000" w:usb2="00000016" w:usb3="00000000" w:csb0="002E0107" w:csb1="00000000"/>
  </w:font>
  <w:font w:name="微软雅黑">
    <w:panose1 w:val="020B0503020204020204"/>
    <w:charset w:val="86"/>
    <w:family w:val="roman"/>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moder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roman"/>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Meiryo UI">
    <w:panose1 w:val="020B0604030504040204"/>
    <w:charset w:val="80"/>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486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7FC8EF"/>
    <w:multiLevelType w:val="singleLevel"/>
    <w:tmpl w:val="5F7FC8EF"/>
    <w:lvl w:ilvl="0" w:tentative="0">
      <w:start w:val="18"/>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lNDRkN2M1NmNmZjk0ZGZhZDI0ZWMzNzFiYzUzZjg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20D2B6E"/>
    <w:rsid w:val="04BC0BC0"/>
    <w:rsid w:val="05B00A30"/>
    <w:rsid w:val="07670C10"/>
    <w:rsid w:val="08A608F2"/>
    <w:rsid w:val="091B505B"/>
    <w:rsid w:val="0B011416"/>
    <w:rsid w:val="0BEB12D9"/>
    <w:rsid w:val="0F2B55F6"/>
    <w:rsid w:val="0F4C410D"/>
    <w:rsid w:val="17C2508C"/>
    <w:rsid w:val="1FED4E93"/>
    <w:rsid w:val="26476634"/>
    <w:rsid w:val="29AB75B4"/>
    <w:rsid w:val="2D4D22D5"/>
    <w:rsid w:val="2FB43B3D"/>
    <w:rsid w:val="313C7868"/>
    <w:rsid w:val="31C2036A"/>
    <w:rsid w:val="320D02A5"/>
    <w:rsid w:val="346E4DBF"/>
    <w:rsid w:val="348E566F"/>
    <w:rsid w:val="382B11CD"/>
    <w:rsid w:val="3A226944"/>
    <w:rsid w:val="3AEE6A48"/>
    <w:rsid w:val="3B045B60"/>
    <w:rsid w:val="3C1620AA"/>
    <w:rsid w:val="3D8F080F"/>
    <w:rsid w:val="44CE1FA4"/>
    <w:rsid w:val="487F73ED"/>
    <w:rsid w:val="4A347EAE"/>
    <w:rsid w:val="50A30A34"/>
    <w:rsid w:val="52600405"/>
    <w:rsid w:val="529B4319"/>
    <w:rsid w:val="53DE74FC"/>
    <w:rsid w:val="570C51C4"/>
    <w:rsid w:val="57665042"/>
    <w:rsid w:val="57773DD6"/>
    <w:rsid w:val="578B79AB"/>
    <w:rsid w:val="59C3511A"/>
    <w:rsid w:val="5B4A6F58"/>
    <w:rsid w:val="5CCD3FD5"/>
    <w:rsid w:val="6071558E"/>
    <w:rsid w:val="61333A3C"/>
    <w:rsid w:val="61FA5F9D"/>
    <w:rsid w:val="64CD6910"/>
    <w:rsid w:val="6789158D"/>
    <w:rsid w:val="67D81BA4"/>
    <w:rsid w:val="6AAF1C96"/>
    <w:rsid w:val="6BA55F64"/>
    <w:rsid w:val="6EE3401E"/>
    <w:rsid w:val="75681757"/>
    <w:rsid w:val="75A346A8"/>
    <w:rsid w:val="760315C2"/>
    <w:rsid w:val="76B729A3"/>
    <w:rsid w:val="77E521D3"/>
    <w:rsid w:val="788B002E"/>
    <w:rsid w:val="79B9382C"/>
    <w:rsid w:val="7A9D4923"/>
    <w:rsid w:val="7B043B76"/>
    <w:rsid w:val="7C041A6A"/>
    <w:rsid w:val="7C8E4725"/>
    <w:rsid w:val="7E327570"/>
    <w:rsid w:val="7E5A6D3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unhideWhenUsed/>
    <w:qFormat/>
    <w:uiPriority w:val="1"/>
  </w:style>
  <w:style w:type="table" w:default="1" w:styleId="6">
    <w:name w:val="Normal Table"/>
    <w:autoRedefine/>
    <w:unhideWhenUsed/>
    <w:qFormat/>
    <w:uiPriority w:val="99"/>
    <w:tblPr>
      <w:tblCellMar>
        <w:top w:w="0" w:type="dxa"/>
        <w:left w:w="108" w:type="dxa"/>
        <w:bottom w:w="0" w:type="dxa"/>
        <w:right w:w="108" w:type="dxa"/>
      </w:tblCellMar>
    </w:tblPr>
  </w:style>
  <w:style w:type="paragraph" w:styleId="3">
    <w:name w:val="Body Text"/>
    <w:basedOn w:val="1"/>
    <w:autoRedefine/>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autoRedefine/>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autoRedefine/>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autoRedefine/>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chart" Target="charts/chart5.xml"/><Relationship Id="rId30" Type="http://schemas.openxmlformats.org/officeDocument/2006/relationships/chart" Target="charts/chart4.xml"/><Relationship Id="rId3" Type="http://schemas.openxmlformats.org/officeDocument/2006/relationships/header" Target="header1.xml"/><Relationship Id="rId29" Type="http://schemas.openxmlformats.org/officeDocument/2006/relationships/chart" Target="charts/chart3.xml"/><Relationship Id="rId28" Type="http://schemas.openxmlformats.org/officeDocument/2006/relationships/chart" Target="charts/chart2.xml"/><Relationship Id="rId27" Type="http://schemas.openxmlformats.org/officeDocument/2006/relationships/chart" Target="charts/chart1.xml"/><Relationship Id="rId26" Type="http://schemas.openxmlformats.org/officeDocument/2006/relationships/image" Target="media/image1.bmp"/><Relationship Id="rId25" Type="http://schemas.openxmlformats.org/officeDocument/2006/relationships/theme" Target="theme/theme1.xml"/><Relationship Id="rId24" Type="http://schemas.openxmlformats.org/officeDocument/2006/relationships/footer" Target="footer9.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列1</c:v>
                </c:pt>
              </c:strCache>
            </c:strRef>
          </c:tx>
          <c:spPr>
            <a:effectLst/>
          </c:spPr>
          <c:explosion val="0"/>
          <c:dPt>
            <c:idx val="0"/>
            <c:bubble3D val="0"/>
            <c:explosion val="0"/>
            <c:spPr>
              <a:solidFill>
                <a:schemeClr val="accent1"/>
              </a:solidFill>
              <a:ln w="19050">
                <a:solidFill>
                  <a:schemeClr val="lt1"/>
                </a:solidFill>
              </a:ln>
              <a:effectLst/>
            </c:spPr>
          </c:dPt>
          <c:dPt>
            <c:idx val="1"/>
            <c:bubble3D val="0"/>
            <c:explosion val="0"/>
            <c:spPr>
              <a:solidFill>
                <a:schemeClr val="accent2"/>
              </a:solidFill>
              <a:ln w="19050">
                <a:solidFill>
                  <a:schemeClr val="lt1"/>
                </a:solidFill>
              </a:ln>
              <a:effectLst/>
            </c:spPr>
          </c:dPt>
          <c:dPt>
            <c:idx val="2"/>
            <c:bubble3D val="0"/>
            <c:explosion val="0"/>
            <c:spPr>
              <a:solidFill>
                <a:schemeClr val="accent3"/>
              </a:solidFill>
              <a:ln w="19050">
                <a:solidFill>
                  <a:schemeClr val="lt1"/>
                </a:solidFill>
              </a:ln>
              <a:effectLst/>
            </c:spPr>
          </c:dPt>
          <c:dPt>
            <c:idx val="3"/>
            <c:bubble3D val="0"/>
            <c:explosion val="0"/>
            <c:spPr>
              <a:solidFill>
                <a:schemeClr val="accent4"/>
              </a:solidFill>
              <a:ln w="19050">
                <a:solidFill>
                  <a:schemeClr val="lt1"/>
                </a:solidFill>
              </a:ln>
              <a:effectLst/>
            </c:spPr>
          </c:dPt>
          <c:dLbls>
            <c:dLbl>
              <c:idx val="0"/>
              <c:layout>
                <c:manualLayout>
                  <c:x val="-0.0383128885901529"/>
                  <c:y val="-0.0645804265497309"/>
                </c:manualLayout>
              </c:layout>
              <c:tx>
                <c:rich>
                  <a:bodyPr rot="0" spcFirstLastPara="0" vertOverflow="ellipsis" vert="horz" wrap="square" lIns="38100" tIns="19050" rIns="38100" bIns="19050" anchor="ctr" anchorCtr="1"/>
                  <a:lstStyle/>
                  <a:p>
                    <a:pPr algn="ctr" defTabSz="914400">
                      <a:defRPr lang="zh-CN" sz="900" b="0" i="0" u="none" strike="noStrike" kern="1200" baseline="0">
                        <a:solidFill>
                          <a:schemeClr val="tx1">
                            <a:lumMod val="75000"/>
                            <a:lumOff val="25000"/>
                          </a:schemeClr>
                        </a:solidFill>
                        <a:latin typeface="+mn-lt"/>
                        <a:ea typeface="+mn-ea"/>
                        <a:cs typeface="+mn-cs"/>
                      </a:defRPr>
                    </a:pPr>
                    <a:r>
                      <a:rPr>
                        <a:solidFill>
                          <a:schemeClr val="tx1">
                            <a:lumMod val="75000"/>
                            <a:lumOff val="25000"/>
                          </a:schemeClr>
                        </a:solidFill>
                        <a:uFillTx/>
                        <a:latin typeface="仿宋" panose="02010609060101010101" charset="-122"/>
                        <a:ea typeface="仿宋" panose="02010609060101010101" charset="-122"/>
                      </a:rPr>
                      <a:t>财政拨款收入, </a:t>
                    </a:r>
                    <a:r>
                      <a:rPr lang="en-US" altLang="zh-CN">
                        <a:solidFill>
                          <a:schemeClr val="tx1">
                            <a:lumMod val="75000"/>
                            <a:lumOff val="25000"/>
                          </a:schemeClr>
                        </a:solidFill>
                        <a:uFillTx/>
                        <a:latin typeface="仿宋" panose="02010609060101010101" charset="-122"/>
                        <a:ea typeface="仿宋" panose="02010609060101010101" charset="-122"/>
                      </a:rPr>
                      <a:t>100</a:t>
                    </a:r>
                    <a:r>
                      <a:rPr>
                        <a:solidFill>
                          <a:schemeClr val="tx1">
                            <a:lumMod val="75000"/>
                            <a:lumOff val="25000"/>
                          </a:schemeClr>
                        </a:solidFill>
                        <a:uFillTx/>
                        <a:latin typeface="仿宋" panose="02010609060101010101" charset="-122"/>
                        <a:ea typeface="仿宋" panose="02010609060101010101" charset="-122"/>
                      </a:rPr>
                      <a:t>%</a:t>
                    </a:r>
                    <a:endParaRPr>
                      <a:solidFill>
                        <a:schemeClr val="tx1">
                          <a:lumMod val="75000"/>
                          <a:lumOff val="25000"/>
                        </a:schemeClr>
                      </a:solidFill>
                      <a:uFillTx/>
                      <a:latin typeface="仿宋" panose="02010609060101010101" charset="-122"/>
                      <a:ea typeface="仿宋" panose="02010609060101010101" charset="-122"/>
                    </a:endParaRPr>
                  </a:p>
                </c:rich>
              </c:tx>
              <c:numFmt formatCode="General" sourceLinked="1"/>
              <c:spPr>
                <a:noFill/>
                <a:ln>
                  <a:noFill/>
                </a:ln>
                <a:effectLst/>
              </c:spPr>
              <c:txPr>
                <a:bodyPr rot="0" spcFirstLastPara="0" vertOverflow="ellipsis" vert="horz" wrap="square" lIns="38100" tIns="19050" rIns="38100" bIns="19050" anchor="ctr" anchorCtr="1"/>
                <a:lstStyle/>
                <a:p>
                  <a:pPr algn="ct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1"/>
              <c:showSerName val="0"/>
              <c:showPercent val="0"/>
              <c:showBubbleSize val="0"/>
              <c:extLst>
                <c:ext xmlns:c15="http://schemas.microsoft.com/office/drawing/2012/chart" uri="{CE6537A1-D6FC-4f65-9D91-7224C49458BB}">
                  <c15:layout/>
                </c:ext>
              </c:extLst>
            </c:dLbl>
            <c:dLbl>
              <c:idx val="1"/>
              <c:layout>
                <c:manualLayout>
                  <c:x val="0.0161317425642749"/>
                  <c:y val="0.00956747059996014"/>
                </c:manualLayout>
              </c:layout>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solidFill>
                      <a:latin typeface="+mn-lt"/>
                      <a:ea typeface="+mn-ea"/>
                      <a:cs typeface="+mn-cs"/>
                    </a:defRPr>
                  </a:pPr>
                </a:p>
              </c:txPr>
              <c:dLblPos val="inEnd"/>
              <c:showLegendKey val="0"/>
              <c:showVal val="1"/>
              <c:showCatName val="1"/>
              <c:showSerName val="0"/>
              <c:showPercent val="0"/>
              <c:showBubbleSize val="0"/>
              <c:extLst>
                <c:ext xmlns:c15="http://schemas.microsoft.com/office/drawing/2012/chart" uri="{CE6537A1-D6FC-4f65-9D91-7224C49458BB}">
                  <c15:layout/>
                </c:ext>
              </c:extLst>
            </c:dLbl>
            <c:dLbl>
              <c:idx val="2"/>
              <c:layout>
                <c:manualLayout>
                  <c:x val="0"/>
                  <c:y val="0.121985250149492"/>
                </c:manualLayout>
              </c:layout>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solidFill>
                      <a:latin typeface="+mn-lt"/>
                      <a:ea typeface="+mn-ea"/>
                      <a:cs typeface="+mn-cs"/>
                    </a:defRPr>
                  </a:pPr>
                </a:p>
              </c:txPr>
              <c:dLblPos val="inEnd"/>
              <c:showLegendKey val="0"/>
              <c:showVal val="1"/>
              <c:showCatName val="1"/>
              <c:showSerName val="0"/>
              <c:showPercent val="0"/>
              <c:showBubbleSize val="0"/>
              <c:extLst>
                <c:ext xmlns:c15="http://schemas.microsoft.com/office/drawing/2012/chart" uri="{CE6537A1-D6FC-4f65-9D91-7224C49458BB}">
                  <c15:layout/>
                </c:ext>
              </c:extLst>
            </c:dLbl>
            <c:dLbl>
              <c:idx val="3"/>
              <c:layout>
                <c:manualLayout>
                  <c:x val="0.00201646782053436"/>
                  <c:y val="0.236794897349013"/>
                </c:manualLayout>
              </c:layout>
              <c:tx>
                <c:rich>
                  <a:bodyPr rot="0" spcFirstLastPara="0" vertOverflow="ellipsis" vert="horz" wrap="square" lIns="38100" tIns="19050" rIns="38100" bIns="19050" anchor="ctr" anchorCtr="1"/>
                  <a:lstStyle/>
                  <a:p>
                    <a:pPr algn="ctr" defTabSz="914400">
                      <a:defRPr lang="zh-CN" sz="900" b="0" i="0" u="none" strike="noStrike" kern="1200" baseline="0">
                        <a:solidFill>
                          <a:schemeClr val="tx1">
                            <a:lumMod val="75000"/>
                            <a:lumOff val="25000"/>
                          </a:schemeClr>
                        </a:solidFill>
                        <a:latin typeface="+mn-lt"/>
                        <a:ea typeface="+mn-ea"/>
                        <a:cs typeface="+mn-cs"/>
                      </a:defRPr>
                    </a:pPr>
                    <a:r>
                      <a:rPr>
                        <a:solidFill>
                          <a:schemeClr val="tx1">
                            <a:lumMod val="75000"/>
                            <a:lumOff val="25000"/>
                          </a:schemeClr>
                        </a:solidFill>
                        <a:uFillTx/>
                        <a:latin typeface="仿宋" panose="02010609060101010101" charset="-122"/>
                        <a:ea typeface="仿宋" panose="02010609060101010101" charset="-122"/>
                      </a:rPr>
                      <a:t>其他收入, 0%</a:t>
                    </a:r>
                    <a:endParaRPr>
                      <a:solidFill>
                        <a:schemeClr val="tx1">
                          <a:lumMod val="75000"/>
                          <a:lumOff val="25000"/>
                        </a:schemeClr>
                      </a:solidFill>
                      <a:uFillTx/>
                      <a:latin typeface="仿宋" panose="02010609060101010101" charset="-122"/>
                      <a:ea typeface="仿宋" panose="02010609060101010101" charset="-122"/>
                    </a:endParaRPr>
                  </a:p>
                </c:rich>
              </c:tx>
              <c:numFmt formatCode="General" sourceLinked="1"/>
              <c:spPr>
                <a:noFill/>
                <a:ln>
                  <a:noFill/>
                </a:ln>
                <a:effectLst/>
              </c:spPr>
              <c:txPr>
                <a:bodyPr rot="0" spcFirstLastPara="0" vertOverflow="ellipsis" vert="horz" wrap="square" lIns="38100" tIns="19050" rIns="38100" bIns="19050" anchor="ctr" anchorCtr="1"/>
                <a:lstStyle/>
                <a:p>
                  <a:pPr algn="ct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1"/>
              <c:showSerName val="0"/>
              <c:showPercent val="0"/>
              <c:showBubbleSize val="0"/>
              <c:extLst>
                <c:ext xmlns:c15="http://schemas.microsoft.com/office/drawing/2012/chart" uri="{CE6537A1-D6FC-4f65-9D91-7224C49458BB}">
                  <c15:layout/>
                </c:ext>
              </c:extLst>
            </c:dLbl>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财政拨款收入</c:v>
                </c:pt>
                <c:pt idx="1">
                  <c:v>事业收入</c:v>
                </c:pt>
                <c:pt idx="2">
                  <c:v>经营收入</c:v>
                </c:pt>
                <c:pt idx="3">
                  <c:v>其他收入</c:v>
                </c:pt>
              </c:strCache>
            </c:strRef>
          </c:cat>
          <c:val>
            <c:numRef>
              <c:f>Sheet1!$B$2:$B$5</c:f>
              <c:numCache>
                <c:formatCode>0.00%</c:formatCode>
                <c:ptCount val="4"/>
                <c:pt idx="0">
                  <c:v>1</c:v>
                </c:pt>
                <c:pt idx="1" c:formatCode="0%">
                  <c:v>0</c:v>
                </c:pt>
                <c:pt idx="2" c:formatCode="0%">
                  <c:v>0</c:v>
                </c:pt>
                <c:pt idx="3" c:formatCode="0%">
                  <c:v>0</c:v>
                </c:pt>
              </c:numCache>
            </c:numRef>
          </c:val>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rot="0" spcFirstLastPara="0" vertOverflow="ellipsis" horzOverflow="overflow" vert="horz" wrap="square" anchor="ctr" anchorCtr="1"/>
    <a:lstStyle/>
    <a:p>
      <a:pPr>
        <a:defRPr lang="zh-CN" sz="900" kern="1200">
          <a:solidFill>
            <a:schemeClr val="tx1"/>
          </a:solidFill>
          <a:latin typeface="+mn-lt"/>
          <a:ea typeface="+mn-ea"/>
          <a:cs typeface="+mn-cs"/>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列1</c:v>
                </c:pt>
              </c:strCache>
            </c:strRef>
          </c:tx>
          <c:spPr>
            <a:effectLst/>
          </c:spPr>
          <c:explosion val="0"/>
          <c:dPt>
            <c:idx val="0"/>
            <c:bubble3D val="0"/>
            <c:explosion val="0"/>
            <c:spPr>
              <a:solidFill>
                <a:schemeClr val="accent1"/>
              </a:solidFill>
              <a:ln w="19050">
                <a:solidFill>
                  <a:schemeClr val="lt1"/>
                </a:solidFill>
              </a:ln>
              <a:effectLst/>
            </c:spPr>
          </c:dPt>
          <c:dPt>
            <c:idx val="1"/>
            <c:bubble3D val="0"/>
            <c:explosion val="0"/>
            <c:spPr>
              <a:solidFill>
                <a:schemeClr val="accent2"/>
              </a:solidFill>
              <a:ln w="19050">
                <a:solidFill>
                  <a:schemeClr val="lt1"/>
                </a:solidFill>
              </a:ln>
              <a:effectLst/>
            </c:spPr>
          </c:dPt>
          <c:dPt>
            <c:idx val="2"/>
            <c:bubble3D val="0"/>
            <c:explosion val="0"/>
            <c:spPr>
              <a:solidFill>
                <a:schemeClr val="accent3"/>
              </a:solidFill>
              <a:ln w="19050">
                <a:solidFill>
                  <a:schemeClr val="lt1"/>
                </a:solidFill>
              </a:ln>
              <a:effectLst/>
            </c:spPr>
          </c:dPt>
          <c:dLbls>
            <c:dLbl>
              <c:idx val="1"/>
              <c:layout>
                <c:manualLayout>
                  <c:x val="-0.00777076250607091"/>
                  <c:y val="0.0777957860615883"/>
                </c:manualLayout>
              </c:layout>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solidFill>
                      <a:latin typeface="+mn-lt"/>
                      <a:ea typeface="+mn-ea"/>
                      <a:cs typeface="+mn-cs"/>
                    </a:defRPr>
                  </a:pPr>
                </a:p>
              </c:txPr>
              <c:dLblPos val="inEnd"/>
              <c:showLegendKey val="0"/>
              <c:showVal val="1"/>
              <c:showCatName val="1"/>
              <c:showSerName val="0"/>
              <c:showPercent val="0"/>
              <c:showBubbleSize val="0"/>
              <c:extLst>
                <c:ext xmlns:c15="http://schemas.microsoft.com/office/drawing/2012/chart" uri="{CE6537A1-D6FC-4f65-9D91-7224C49458BB}">
                  <c15:layout/>
                </c:ext>
              </c:extLst>
            </c:dLbl>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cap="none" spc="0" normalizeH="0" baseline="0">
                    <a:solidFill>
                      <a:schemeClr val="tx1">
                        <a:lumMod val="75000"/>
                        <a:lumOff val="25000"/>
                      </a:schemeClr>
                    </a:solidFill>
                    <a:uFill>
                      <a:solidFill>
                        <a:schemeClr val="tx1">
                          <a:lumMod val="75000"/>
                          <a:lumOff val="25000"/>
                        </a:schemeClr>
                      </a:solidFill>
                    </a:uFill>
                    <a:latin typeface="仿宋" panose="02010609060101010101" charset="-122"/>
                    <a:ea typeface="仿宋" panose="02010609060101010101" charset="-122"/>
                    <a:cs typeface="+mn-cs"/>
                  </a:defRPr>
                </a:pPr>
              </a:p>
            </c:txPr>
            <c:dLblPos val="inEnd"/>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Sheet1!$A$2:$A$4</c:f>
              <c:strCache>
                <c:ptCount val="3"/>
                <c:pt idx="0">
                  <c:v>基本支出</c:v>
                </c:pt>
                <c:pt idx="1">
                  <c:v>项目支出</c:v>
                </c:pt>
                <c:pt idx="2">
                  <c:v>经营支出</c:v>
                </c:pt>
              </c:strCache>
            </c:strRef>
          </c:cat>
          <c:val>
            <c:numRef>
              <c:f>Sheet1!$B$2:$B$4</c:f>
              <c:numCache>
                <c:formatCode>0.00%</c:formatCode>
                <c:ptCount val="3"/>
                <c:pt idx="0">
                  <c:v>0.8765</c:v>
                </c:pt>
                <c:pt idx="1">
                  <c:v>0.1235</c:v>
                </c:pt>
                <c:pt idx="2" c:formatCode="0%">
                  <c:v>0</c:v>
                </c:pt>
              </c:numCache>
            </c:numRef>
          </c:val>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rot="0" spcFirstLastPara="0" vertOverflow="ellipsis" horzOverflow="overflow" vert="horz" wrap="square" anchor="ctr" anchorCtr="1"/>
    <a:lstStyle/>
    <a:p>
      <a:pPr>
        <a:defRPr lang="zh-CN" sz="900" kern="1200">
          <a:solidFill>
            <a:schemeClr val="tx1"/>
          </a:solidFill>
          <a:latin typeface="+mn-lt"/>
          <a:ea typeface="+mn-ea"/>
          <a:cs typeface="+mn-cs"/>
        </a:defRPr>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defTabSz="914400">
              <a:defRPr lang="zh-CN" sz="1400" b="0" i="0" u="none" strike="noStrike" kern="1200" spc="0" baseline="0">
                <a:solidFill>
                  <a:schemeClr val="tx1">
                    <a:lumMod val="65000"/>
                    <a:lumOff val="35000"/>
                  </a:schemeClr>
                </a:solidFill>
                <a:latin typeface="+mn-lt"/>
                <a:ea typeface="+mn-ea"/>
                <a:cs typeface="+mn-cs"/>
              </a:defRPr>
            </a:pPr>
            <a:r>
              <a:rPr sz="1400" b="0" i="0" u="none" strike="noStrike" kern="1200" cap="none" spc="0" normalizeH="0" baseline="0">
                <a:solidFill>
                  <a:schemeClr val="tx1">
                    <a:lumMod val="65000"/>
                    <a:lumOff val="35000"/>
                  </a:schemeClr>
                </a:solidFill>
                <a:effectLst/>
                <a:latin typeface="+mn-lt"/>
                <a:ea typeface="+mn-ea"/>
                <a:cs typeface="+mn-cs"/>
              </a:rPr>
              <a:t>单位：万元</a:t>
            </a:r>
            <a:endParaRPr sz="1400" b="0" i="0" u="none" strike="noStrike" kern="1200" cap="none" spc="0" normalizeH="0" baseline="0">
              <a:solidFill>
                <a:schemeClr val="tx1">
                  <a:lumMod val="65000"/>
                  <a:lumOff val="35000"/>
                </a:schemeClr>
              </a:solidFill>
              <a:effectLst/>
              <a:latin typeface="+mn-lt"/>
              <a:ea typeface="+mn-ea"/>
              <a:cs typeface="+mn-cs"/>
            </a:endParaRPr>
          </a:p>
        </c:rich>
      </c:tx>
      <c:layout>
        <c:manualLayout>
          <c:xMode val="edge"/>
          <c:yMode val="edge"/>
          <c:x val="0.0229133858267717"/>
          <c:y val="0.0169172932330827"/>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系列1</c:v>
                </c:pt>
              </c:strCache>
            </c:strRef>
          </c:tx>
          <c:spPr>
            <a:solidFill>
              <a:schemeClr val="accent1"/>
            </a:solidFill>
            <a:ln>
              <a:noFill/>
            </a:ln>
            <a:effectLst/>
          </c:spPr>
          <c:invertIfNegative val="0"/>
          <c:dLbls>
            <c:dLbl>
              <c:idx val="0"/>
              <c:layout>
                <c:manualLayout>
                  <c:x val="-0.006"/>
                  <c:y val="-0.0714285714285714"/>
                </c:manualLayout>
              </c:layout>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in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
                  <c:y val="-0.0695488721804511"/>
                </c:manualLayout>
              </c:layout>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in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3"/>
                  <c:y val="-0.0695488721804511"/>
                </c:manualLayout>
              </c:layout>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in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15"/>
                  <c:y val="-0.075187969924812"/>
                </c:manualLayout>
              </c:layout>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inEnd"/>
              <c:showLegendKey val="0"/>
              <c:showVal val="1"/>
              <c:showCatName val="0"/>
              <c:showSerName val="0"/>
              <c:showPercent val="0"/>
              <c:showBubbleSize val="0"/>
              <c:extLst>
                <c:ext xmlns:c15="http://schemas.microsoft.com/office/drawing/2012/chart" uri="{CE6537A1-D6FC-4f65-9D91-7224C49458BB}">
                  <c15:layout/>
                </c:ext>
              </c:extLst>
            </c:dLbl>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cap="none" spc="0" normalizeH="0" baseline="0">
                    <a:solidFill>
                      <a:schemeClr val="tx1">
                        <a:lumMod val="75000"/>
                        <a:lumOff val="25000"/>
                      </a:schemeClr>
                    </a:solidFill>
                    <a:uFill>
                      <a:solidFill>
                        <a:schemeClr val="tx1">
                          <a:lumMod val="75000"/>
                          <a:lumOff val="25000"/>
                        </a:schemeClr>
                      </a:solidFill>
                    </a:uFill>
                    <a:latin typeface="仿宋" panose="02010609060101010101" charset="-122"/>
                    <a:ea typeface="仿宋" panose="02010609060101010101" charset="-122"/>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2018年收入</c:v>
                </c:pt>
                <c:pt idx="1">
                  <c:v>2019年收入</c:v>
                </c:pt>
                <c:pt idx="2">
                  <c:v>2018年支出</c:v>
                </c:pt>
                <c:pt idx="3">
                  <c:v>2019年支出</c:v>
                </c:pt>
              </c:strCache>
            </c:strRef>
          </c:cat>
          <c:val>
            <c:numRef>
              <c:f>Sheet1!$B$2:$B$5</c:f>
              <c:numCache>
                <c:formatCode>0.00_ </c:formatCode>
                <c:ptCount val="4"/>
                <c:pt idx="0">
                  <c:v>3312.79</c:v>
                </c:pt>
                <c:pt idx="1">
                  <c:v>3310.6</c:v>
                </c:pt>
                <c:pt idx="2">
                  <c:v>3312.79</c:v>
                </c:pt>
                <c:pt idx="3">
                  <c:v>3310.6</c:v>
                </c:pt>
              </c:numCache>
            </c:numRef>
          </c:val>
        </c:ser>
        <c:dLbls>
          <c:showLegendKey val="0"/>
          <c:showVal val="0"/>
          <c:showCatName val="0"/>
          <c:showSerName val="0"/>
          <c:showPercent val="0"/>
          <c:showBubbleSize val="0"/>
        </c:dLbls>
        <c:gapWidth val="75"/>
        <c:overlap val="40"/>
        <c:axId val="880932653"/>
        <c:axId val="715035171"/>
      </c:barChart>
      <c:catAx>
        <c:axId val="88093265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horzOverflow="overflow" vert="horz" wrap="square" anchor="ctr" anchorCtr="1"/>
          <a:lstStyle/>
          <a:p>
            <a:pPr>
              <a:defRPr lang="zh-CN" sz="900" b="0" i="0" u="none" strike="noStrike" kern="1200" cap="none" spc="0" normalizeH="0" baseline="0">
                <a:solidFill>
                  <a:schemeClr val="tx1">
                    <a:lumMod val="65000"/>
                    <a:lumOff val="35000"/>
                  </a:schemeClr>
                </a:solidFill>
                <a:uFill>
                  <a:solidFill>
                    <a:schemeClr val="tx1">
                      <a:lumMod val="65000"/>
                      <a:lumOff val="35000"/>
                    </a:schemeClr>
                  </a:solidFill>
                </a:uFill>
                <a:latin typeface="仿宋" panose="02010609060101010101" charset="-122"/>
                <a:ea typeface="仿宋" panose="02010609060101010101" charset="-122"/>
                <a:cs typeface="+mn-cs"/>
              </a:defRPr>
            </a:pPr>
          </a:p>
        </c:txPr>
        <c:crossAx val="715035171"/>
        <c:crosses val="autoZero"/>
        <c:auto val="1"/>
        <c:lblAlgn val="ctr"/>
        <c:lblOffset val="100"/>
        <c:noMultiLvlLbl val="0"/>
      </c:catAx>
      <c:valAx>
        <c:axId val="715035171"/>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0.00_ " sourceLinked="1"/>
        <c:majorTickMark val="none"/>
        <c:minorTickMark val="none"/>
        <c:tickLblPos val="nextTo"/>
        <c:spPr>
          <a:noFill/>
          <a:ln w="6350" cap="flat" cmpd="sng" algn="ctr">
            <a:noFill/>
            <a:prstDash val="solid"/>
            <a:round/>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8093265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rot="0" spcFirstLastPara="0" vertOverflow="ellipsis" horzOverflow="overflow" vert="horz" wrap="square" anchor="ctr" anchorCtr="1"/>
    <a:lstStyle/>
    <a:p>
      <a:pPr>
        <a:defRPr lang="zh-CN" sz="1000" kern="1200">
          <a:solidFill>
            <a:schemeClr val="tx1"/>
          </a:solidFill>
          <a:latin typeface="+mn-lt"/>
          <a:ea typeface="+mn-ea"/>
          <a:cs typeface="+mn-cs"/>
        </a:defRPr>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horzOverflow="overflow" vert="horz" wrap="square" anchor="ctr" anchorCtr="1"/>
          <a:lstStyle/>
          <a:p>
            <a:pPr algn="ctr" defTabSz="914400">
              <a:defRPr lang="zh-CN" sz="1400" b="0" i="0" u="none" strike="noStrike" kern="1200" spc="0" baseline="0">
                <a:solidFill>
                  <a:schemeClr val="tx1">
                    <a:lumMod val="65000"/>
                    <a:lumOff val="35000"/>
                  </a:schemeClr>
                </a:solidFill>
                <a:latin typeface="+mn-lt"/>
                <a:ea typeface="+mn-ea"/>
                <a:cs typeface="+mn-cs"/>
              </a:defRPr>
            </a:pPr>
            <a:r>
              <a:rPr sz="1400" b="0" i="0" u="none" strike="noStrike" kern="1200" cap="none" spc="0" normalizeH="0" baseline="0">
                <a:solidFill>
                  <a:schemeClr val="tx1">
                    <a:lumMod val="65000"/>
                    <a:lumOff val="35000"/>
                  </a:schemeClr>
                </a:solidFill>
                <a:effectLst/>
                <a:latin typeface="+mn-lt"/>
                <a:ea typeface="+mn-ea"/>
                <a:cs typeface="+mn-cs"/>
              </a:rPr>
              <a:t>单位：万元</a:t>
            </a:r>
            <a:endParaRPr sz="1400" b="0" i="0" u="none" strike="noStrike" kern="1200" cap="none" spc="0" normalizeH="0" baseline="0">
              <a:solidFill>
                <a:schemeClr val="tx1">
                  <a:lumMod val="65000"/>
                  <a:lumOff val="35000"/>
                </a:schemeClr>
              </a:solidFill>
              <a:effectLst/>
              <a:latin typeface="+mn-lt"/>
              <a:ea typeface="+mn-ea"/>
              <a:cs typeface="+mn-cs"/>
            </a:endParaRPr>
          </a:p>
        </c:rich>
      </c:tx>
      <c:layout>
        <c:manualLayout>
          <c:xMode val="edge"/>
          <c:yMode val="edge"/>
          <c:x val="0.0236989342281138"/>
          <c:y val="0.0372257921559938"/>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系列 1</c:v>
                </c:pt>
              </c:strCache>
            </c:strRef>
          </c:tx>
          <c:spPr>
            <a:solidFill>
              <a:schemeClr val="accent1"/>
            </a:solidFill>
            <a:ln>
              <a:noFill/>
            </a:ln>
            <a:effectLst/>
          </c:spPr>
          <c:invertIfNegative val="0"/>
          <c:dLbls>
            <c:dLbl>
              <c:idx val="0"/>
              <c:layout>
                <c:manualLayout>
                  <c:x val="0.00150225338007011"/>
                  <c:y val="-0.109018391313982"/>
                </c:manualLayout>
              </c:layout>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in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150225338007011"/>
                  <c:y val="-0.101041435851983"/>
                </c:manualLayout>
              </c:layout>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in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
                  <c:y val="-0.0983824506979836"/>
                </c:manualLayout>
              </c:layout>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in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600901352028042"/>
                  <c:y val="-0.106359406159982"/>
                </c:manualLayout>
              </c:layout>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inEnd"/>
              <c:showLegendKey val="0"/>
              <c:showVal val="1"/>
              <c:showCatName val="0"/>
              <c:showSerName val="0"/>
              <c:showPercent val="0"/>
              <c:showBubbleSize val="0"/>
              <c:extLst>
                <c:ext xmlns:c15="http://schemas.microsoft.com/office/drawing/2012/chart" uri="{CE6537A1-D6FC-4f65-9D91-7224C49458BB}">
                  <c15:layout/>
                </c:ext>
              </c:extLst>
            </c:dLbl>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2019年预算收入数</c:v>
                </c:pt>
                <c:pt idx="1">
                  <c:v>2019年决算收入数</c:v>
                </c:pt>
                <c:pt idx="2">
                  <c:v>2019年预算支出数</c:v>
                </c:pt>
                <c:pt idx="3">
                  <c:v>2019年决算支出数</c:v>
                </c:pt>
              </c:strCache>
            </c:strRef>
          </c:cat>
          <c:val>
            <c:numRef>
              <c:f>Sheet1!$B$2:$B$5</c:f>
              <c:numCache>
                <c:formatCode>0.00_ </c:formatCode>
                <c:ptCount val="4"/>
                <c:pt idx="0">
                  <c:v>2174.85</c:v>
                </c:pt>
                <c:pt idx="1">
                  <c:v>3310.6</c:v>
                </c:pt>
                <c:pt idx="2">
                  <c:v>2174.85</c:v>
                </c:pt>
                <c:pt idx="3">
                  <c:v>3310.6</c:v>
                </c:pt>
              </c:numCache>
            </c:numRef>
          </c:val>
        </c:ser>
        <c:dLbls>
          <c:showLegendKey val="0"/>
          <c:showVal val="0"/>
          <c:showCatName val="0"/>
          <c:showSerName val="0"/>
          <c:showPercent val="0"/>
          <c:showBubbleSize val="0"/>
        </c:dLbls>
        <c:gapWidth val="75"/>
        <c:overlap val="40"/>
        <c:axId val="680850873"/>
        <c:axId val="603802777"/>
      </c:barChart>
      <c:catAx>
        <c:axId val="68085087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03802777"/>
        <c:crosses val="autoZero"/>
        <c:auto val="1"/>
        <c:lblAlgn val="ctr"/>
        <c:lblOffset val="100"/>
        <c:noMultiLvlLbl val="0"/>
      </c:catAx>
      <c:valAx>
        <c:axId val="603802777"/>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0.00_ " sourceLinked="1"/>
        <c:majorTickMark val="none"/>
        <c:minorTickMark val="none"/>
        <c:tickLblPos val="nextTo"/>
        <c:spPr>
          <a:noFill/>
          <a:ln w="6350" cap="flat" cmpd="sng" algn="ctr">
            <a:noFill/>
            <a:prstDash val="solid"/>
            <a:round/>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8085087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rot="0" spcFirstLastPara="0" vertOverflow="ellipsis" horzOverflow="overflow" vert="horz" wrap="square" anchor="ctr" anchorCtr="1"/>
    <a:lstStyle/>
    <a:p>
      <a:pPr>
        <a:defRPr lang="zh-CN" sz="1000" kern="1200">
          <a:solidFill>
            <a:schemeClr val="tx1"/>
          </a:solidFill>
          <a:latin typeface="+mn-lt"/>
          <a:ea typeface="+mn-ea"/>
          <a:cs typeface="+mn-cs"/>
        </a:defRPr>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销售额</c:v>
                </c:pt>
              </c:strCache>
            </c:strRef>
          </c:tx>
          <c:spPr>
            <a:effectLst/>
          </c:spPr>
          <c:explosion val="0"/>
          <c:dPt>
            <c:idx val="0"/>
            <c:bubble3D val="0"/>
            <c:explosion val="0"/>
            <c:spPr>
              <a:solidFill>
                <a:schemeClr val="accent1"/>
              </a:solidFill>
              <a:ln w="19050">
                <a:solidFill>
                  <a:schemeClr val="lt1"/>
                </a:solidFill>
              </a:ln>
              <a:effectLst/>
            </c:spPr>
          </c:dPt>
          <c:dPt>
            <c:idx val="1"/>
            <c:bubble3D val="0"/>
            <c:explosion val="0"/>
            <c:spPr>
              <a:solidFill>
                <a:schemeClr val="accent2"/>
              </a:solidFill>
              <a:ln w="19050">
                <a:solidFill>
                  <a:schemeClr val="lt1"/>
                </a:solidFill>
              </a:ln>
              <a:effectLst/>
            </c:spPr>
          </c:dPt>
          <c:dPt>
            <c:idx val="2"/>
            <c:bubble3D val="0"/>
            <c:explosion val="0"/>
            <c:spPr>
              <a:solidFill>
                <a:schemeClr val="accent3"/>
              </a:solidFill>
              <a:ln w="19050">
                <a:solidFill>
                  <a:schemeClr val="lt1"/>
                </a:solidFill>
              </a:ln>
              <a:effectLst/>
            </c:spPr>
          </c:dPt>
          <c:dPt>
            <c:idx val="3"/>
            <c:bubble3D val="0"/>
            <c:explosion val="0"/>
            <c:spPr>
              <a:solidFill>
                <a:schemeClr val="accent4"/>
              </a:solidFill>
              <a:ln w="19050">
                <a:solidFill>
                  <a:schemeClr val="lt1"/>
                </a:solidFill>
              </a:ln>
              <a:effectLst/>
            </c:spPr>
          </c:dPt>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solidFill>
                    <a:latin typeface="+mn-lt"/>
                    <a:ea typeface="+mn-ea"/>
                    <a:cs typeface="+mn-cs"/>
                  </a:defRPr>
                </a:pPr>
              </a:p>
            </c:txPr>
            <c:dLblPos val="inEnd"/>
            <c:showLegendKey val="0"/>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6350" cap="flat" cmpd="sng" algn="ctr">
                      <a:noFill/>
                      <a:prstDash val="solid"/>
                      <a:round/>
                    </a:ln>
                    <a:effectLst/>
                  </c:spPr>
                </c15:leaderLines>
              </c:ext>
            </c:extLst>
          </c:dLbls>
          <c:cat>
            <c:strRef>
              <c:f>Sheet1!$A$2:$A$5</c:f>
              <c:strCache>
                <c:ptCount val="4"/>
                <c:pt idx="0">
                  <c:v>一般公共服务（类）</c:v>
                </c:pt>
                <c:pt idx="1">
                  <c:v>公共安全（类）</c:v>
                </c:pt>
                <c:pt idx="2">
                  <c:v>教育（类）</c:v>
                </c:pt>
                <c:pt idx="3">
                  <c:v>科学技术（类）</c:v>
                </c:pt>
              </c:strCache>
            </c:strRef>
          </c:cat>
          <c:val>
            <c:numRef>
              <c:f>Sheet1!$B$2:$B$5</c:f>
              <c:numCache>
                <c:formatCode>General</c:formatCode>
                <c:ptCount val="4"/>
                <c:pt idx="0">
                  <c:v>8.2</c:v>
                </c:pt>
                <c:pt idx="1">
                  <c:v>3.2</c:v>
                </c:pt>
                <c:pt idx="2">
                  <c:v>1.4</c:v>
                </c:pt>
                <c:pt idx="3">
                  <c:v>1.2</c:v>
                </c:pt>
              </c:numCache>
            </c:numRef>
          </c:val>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rot="0" spcFirstLastPara="0" vertOverflow="ellipsis" horzOverflow="overflow" vert="horz" wrap="square" anchor="ctr" anchorCtr="1"/>
    <a:lstStyle/>
    <a:p>
      <a:pPr>
        <a:defRPr lang="zh-CN" sz="900" kern="1200">
          <a:solidFill>
            <a:schemeClr val="tx1"/>
          </a:solidFill>
          <a:latin typeface="+mn-lt"/>
          <a:ea typeface="+mn-ea"/>
          <a:cs typeface="+mn-cs"/>
        </a:defRPr>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33</Pages>
  <Words>8959</Words>
  <Characters>10458</Characters>
  <Lines>78</Lines>
  <Paragraphs>22</Paragraphs>
  <TotalTime>2</TotalTime>
  <ScaleCrop>false</ScaleCrop>
  <LinksUpToDate>false</LinksUpToDate>
  <CharactersWithSpaces>10728</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2020-10-15T01:14:00Z</cp:lastPrinted>
  <dcterms:modified xsi:type="dcterms:W3CDTF">2024-02-04T02:40:10Z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F9178D98F8634FF5B4470E2C516DE71E</vt:lpwstr>
  </property>
</Properties>
</file>