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950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950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155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052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6432"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6432;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390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848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平山县应急管理局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360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focussize="0,0" r:id="rId2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（一）负责应急管理工作，指导全县各级各部门应对安全生产类、自然灾害类等突发事件和综合防灾减灾救灾工作；负责安全生产综合监督管理和工矿商贸行业安全生产监督管理工作。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（二）拟订应急管理、安全生产等政策规定，组织编制县应急体系建设、安全生产和综合防灾减灾规划，组织贯彻落实地方性法规和政府规章并监督实施。</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（四）与国家和省市系统对接，建立完善全县应急管理信息系统，负责管辖范围内的信息传输渠道的规划和布局。建立监测预警和灾情报告制度，健全自然灾害信息资源获取和共享机制，依法统一发布灾情。</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（五）组织指导协调安全生产类、自然灾害类等突发事件应急救援，综合研判突发事件发展态势并提出应对建议，协助县委、县政府指定的负责同志组织重大灾害应急处置工作。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（六）统一协调指挥各类应急专业队伍，建立应急协调联动机制，推进指挥平台对接，衔接驻平解放军和武警部队参与应急救援工作。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（七）统筹应急救援力量建设，负责消防、森林和草地火灾扑救、抗洪抢险、地震和地质灾害救援、生产安全事故救援等专业应急救援力量建设，综合协调应急救援队伍，指导各级及社会应急救援力量建设。</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（八）组织协调消防工作，指导各级消防监督、火灾预防、火灾扑救等工作。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（九）指导协调森林和草地火灾、水旱灾害、地震和地质灾害等防治工作，负责自然灾害综合监测预警工作，会同有关部门做好自然灾害综合风险评估工作。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（十）组织协调灾害救助工作，负责灾情核查、损失评估、救灾捐赠工作，管理、分配救灾款物并监督使用。</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（十一）依法行使安全生产综合监督管理职权，指导协调、监督检查县有关部门(开发区）和各乡（镇）政府，组织开展安全生产巡查、考核工作。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二）按照分级、属地原则，依法监督检查工矿商贸生产经营单位贯彻执行安全生产法律法规情况，以及安全生产条件和有关设备（特种设备除外）、材料、劳动防护用品的安全生产管理工作。负责监督管理工矿商贸行业的安全生产工作。配合上级部门监督管理驻县中央、省属、市属企业的安全生产工作；负责危险化学品安全监督管理综合工作和烟花爆竹安全生产监督管理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（十三）依法开展生产安全事故调查处理，监督事故查处和责任追究落实情况。组织开展自然灾害类突发事件的调查评估工作。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（十四）制定应急物资储备和应急救援装备规划并组织实施，会同县发展和改革局等部门建立健全应急物资信息平台和调拨制度，在救灾时统一调度。</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（十五）负责应急管理、安全生产宣传教育和培训工作，负责应急管理、安全生产的科学成果推广应用和信息化建设工作。</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（十六）负责组织协调、指导监督全县安全生产行政执法工作，组织开展对监管范围内企业的执法检查。</w:t>
      </w:r>
    </w:p>
    <w:p>
      <w:pPr>
        <w:ind w:firstLine="640" w:firstLineChars="200"/>
        <w:rPr>
          <w:rFonts w:hint="eastAsia" w:ascii="Times New Roman" w:hAnsi="Times New Roman" w:eastAsia="仿宋" w:cs="Times New Roman"/>
          <w:sz w:val="32"/>
          <w:szCs w:val="32"/>
          <w:highlight w:val="none"/>
          <w:lang w:val="en-US" w:eastAsia="zh-CN"/>
        </w:rPr>
      </w:pPr>
      <w:r>
        <w:rPr>
          <w:rFonts w:hint="eastAsia" w:ascii="Times New Roman" w:hAnsi="Times New Roman" w:eastAsia="仿宋" w:cs="Times New Roman"/>
          <w:sz w:val="32"/>
          <w:szCs w:val="32"/>
          <w:highlight w:val="none"/>
          <w:lang w:val="en-US" w:eastAsia="zh-CN"/>
        </w:rPr>
        <w:t>（十七）组织开展应急管理方面的区域交流与合作。</w:t>
      </w:r>
    </w:p>
    <w:p>
      <w:pPr>
        <w:widowControl/>
        <w:spacing w:line="580" w:lineRule="exact"/>
        <w:ind w:firstLine="640" w:firstLineChars="200"/>
        <w:rPr>
          <w:rFonts w:ascii="仿宋_GB2312" w:hAnsi="Calibri" w:eastAsia="仿宋_GB2312" w:cs="ArialUnicodeMS"/>
          <w:kern w:val="0"/>
          <w:sz w:val="32"/>
          <w:szCs w:val="32"/>
        </w:rPr>
      </w:pPr>
      <w:r>
        <w:rPr>
          <w:rFonts w:hint="eastAsia" w:ascii="Times New Roman" w:hAnsi="Times New Roman" w:eastAsia="仿宋" w:cs="Times New Roman"/>
          <w:sz w:val="32"/>
          <w:szCs w:val="32"/>
          <w:highlight w:val="none"/>
          <w:lang w:val="en-US" w:eastAsia="zh-CN"/>
        </w:rPr>
        <w:t>（十八）完成县委、县政府交办的其他任务。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平山县应急管理局</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14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872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872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focussize="0,0" r:id="rId2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1540.66</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482.98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45.66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机构改革、职能增加。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r>
        <w:rPr>
          <w:rFonts w:hint="eastAsia" w:ascii="仿宋_GB2312" w:hAnsi="Times New Roman" w:eastAsia="仿宋_GB2312" w:cs="DengXian-Regular"/>
          <w:sz w:val="32"/>
          <w:szCs w:val="32"/>
          <w:highlight w:val="none"/>
          <w:lang w:eastAsia="zh-CN"/>
        </w:rPr>
        <w:drawing>
          <wp:anchor distT="0" distB="0" distL="114300" distR="114300" simplePos="0" relativeHeight="251682816" behindDoc="0" locked="0" layoutInCell="1" allowOverlap="1">
            <wp:simplePos x="0" y="0"/>
            <wp:positionH relativeFrom="column">
              <wp:posOffset>819785</wp:posOffset>
            </wp:positionH>
            <wp:positionV relativeFrom="paragraph">
              <wp:posOffset>1454785</wp:posOffset>
            </wp:positionV>
            <wp:extent cx="4328160" cy="2522855"/>
            <wp:effectExtent l="4445" t="4445" r="10795" b="6350"/>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1523.58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1517.82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99.62</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5.76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0.38</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highlight w:val="none"/>
          <w:lang w:eastAsia="zh-CN"/>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p>
    <w:p>
      <w:pPr>
        <w:keepNext/>
        <w:keepLines/>
        <w:snapToGrid w:val="0"/>
        <w:spacing w:line="580" w:lineRule="exact"/>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6672" behindDoc="0" locked="0" layoutInCell="1" allowOverlap="1">
                <wp:simplePos x="0" y="0"/>
                <wp:positionH relativeFrom="column">
                  <wp:posOffset>1490345</wp:posOffset>
                </wp:positionH>
                <wp:positionV relativeFrom="paragraph">
                  <wp:posOffset>311150</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498725" y="716788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17.35pt;margin-top:24.5pt;height:38.6pt;width:217.35pt;z-index:251676672;mso-width-relative:page;mso-height-relative:page;" fillcolor="#FFFFFF" filled="t" stroked="f" coordsize="21600,21600" o:gfxdata="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KfvTdrVAAAACgEAAA8AAAAAAAAAAQAgAAAAIgAAAGRycy9kb3ducmV2LnhtbFBLAQIUABQA&#10;AAAIAIdO4kAHC/o9ZQIAAKwEAAAOAAAAAAAAAAEAIAAAACQBAABkcnMvZTJvRG9jLnhtbFBLBQYA&#10;AAAABgAGAFkBAAD7BQAAAAA=&#10;">
                <v:fill on="t" focussize="0,0"/>
                <v:stroke on="f" weight="0.5pt"/>
                <v:imagedata o:title=""/>
                <o:lock v:ext="edit" aspectratio="f"/>
                <v:textbox>
                  <w:txbxContent>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1358.87</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912.07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67.12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446.8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32.88</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w:drawing>
          <wp:anchor distT="0" distB="0" distL="114300" distR="114300" simplePos="0" relativeHeight="251683840" behindDoc="0" locked="0" layoutInCell="1" allowOverlap="1">
            <wp:simplePos x="0" y="0"/>
            <wp:positionH relativeFrom="column">
              <wp:posOffset>851535</wp:posOffset>
            </wp:positionH>
            <wp:positionV relativeFrom="paragraph">
              <wp:posOffset>247650</wp:posOffset>
            </wp:positionV>
            <wp:extent cx="3728720" cy="1686560"/>
            <wp:effectExtent l="4445" t="4445" r="19685" b="2349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75648" behindDoc="1" locked="0" layoutInCell="1" allowOverlap="1">
                <wp:simplePos x="0" y="0"/>
                <wp:positionH relativeFrom="column">
                  <wp:posOffset>945515</wp:posOffset>
                </wp:positionH>
                <wp:positionV relativeFrom="paragraph">
                  <wp:posOffset>1328420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100266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45pt;margin-top:104.6pt;height:38.05pt;width:260.95pt;z-index:-251640832;mso-width-relative:page;mso-height-relative:page;" fillcolor="#FFFFFF" filled="t" stroked="f" coordsize="21600,21600" o:gfxdata="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Eq5J7XWAAAACwEAAA8AAAAAAAAAAQAgAAAAIgAAAGRycy9kb3ducmV2LnhtbFBLAQIUABQAAAAI&#10;AIdO4kCppFgbYQIAAKwEAAAOAAAAAAAAAAEAIAAAACUBAABkcnMvZTJvRG9jLnhtbFBLBQYAAAAA&#10;BgAGAFkBAAD4BQAAAAA=&#10;">
                <v:fill on="t" focussize="0,0"/>
                <v:stroke on="f" weight="0.5pt"/>
                <v:imagedata o:title=""/>
                <o:lock v:ext="edit" aspectratio="f"/>
                <v:textbox>
                  <w:txbxContent>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1517.82</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677.47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80.62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机构改革、职能增加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1358.87</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317.23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30.45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机构改革、职能增加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84864" behindDoc="0" locked="0" layoutInCell="1" allowOverlap="1">
            <wp:simplePos x="0" y="0"/>
            <wp:positionH relativeFrom="column">
              <wp:posOffset>629285</wp:posOffset>
            </wp:positionH>
            <wp:positionV relativeFrom="paragraph">
              <wp:posOffset>269875</wp:posOffset>
            </wp:positionV>
            <wp:extent cx="4747260" cy="2419985"/>
            <wp:effectExtent l="4445" t="4445" r="10795" b="13970"/>
            <wp:wrapNone/>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1517.82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1358.87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年初预算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1358.87</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lang w:eastAsia="zh-CN"/>
        </w:rPr>
        <w:t>应急管理事务</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1053.49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77.52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森林消防事务</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203.73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14.99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地震事务</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33.65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2.48</w:t>
      </w:r>
      <w:r>
        <w:rPr>
          <w:rFonts w:hint="eastAsia" w:ascii="仿宋_GB2312" w:hAnsi="Times New Roman" w:eastAsia="仿宋_GB2312" w:cs="DengXian-Regular"/>
          <w:sz w:val="32"/>
          <w:szCs w:val="32"/>
        </w:rPr>
        <w:t>%；自然灾害救灾及恢复重建支出</w:t>
      </w:r>
      <w:r>
        <w:rPr>
          <w:rFonts w:hint="eastAsia" w:ascii="仿宋_GB2312" w:hAnsi="Times New Roman" w:eastAsia="仿宋_GB2312" w:cs="DengXian-Regular"/>
          <w:sz w:val="32"/>
          <w:szCs w:val="32"/>
          <w:lang w:val="en-US" w:eastAsia="zh-CN"/>
        </w:rPr>
        <w:t>68</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685888" behindDoc="0" locked="0" layoutInCell="1" allowOverlap="1">
            <wp:simplePos x="0" y="0"/>
            <wp:positionH relativeFrom="column">
              <wp:posOffset>842645</wp:posOffset>
            </wp:positionH>
            <wp:positionV relativeFrom="paragraph">
              <wp:posOffset>92075</wp:posOffset>
            </wp:positionV>
            <wp:extent cx="4194175" cy="2277110"/>
            <wp:effectExtent l="4445" t="4445" r="11430" b="23495"/>
            <wp:wrapNone/>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7696" behindDoc="1" locked="0" layoutInCell="1" allowOverlap="1">
                <wp:simplePos x="0" y="0"/>
                <wp:positionH relativeFrom="column">
                  <wp:posOffset>981075</wp:posOffset>
                </wp:positionH>
                <wp:positionV relativeFrom="paragraph">
                  <wp:posOffset>186690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66751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4.7pt;height:30.85pt;width:281.6pt;z-index:-251638784;mso-width-relative:page;mso-height-relative:page;" fillcolor="#FFFFFF" filled="t" stroked="f" coordsize="21600,21600" o:gfxdata="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AW1N4tQAAAAJAQAADwAAAAAAAAABACAAAAAiAAAAZHJzL2Rvd25yZXYueG1sUEsBAhQAFAAAAAgA&#10;h07iQLBUlbJiAgAArAQAAA4AAAAAAAAAAQAgAAAAIwEAAGRycy9lMm9Eb2MueG1sUEsFBgAAAAAG&#10;AAYAWQEAAPc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908.07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759.88</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148.19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20.76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69.2</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9.24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车辆限行，用车减少</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21.02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50.31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2018年度增加车辆购置费</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w:t>
      </w:r>
      <w:r>
        <w:rPr>
          <w:rFonts w:hint="eastAsia" w:ascii="仿宋_GB2312" w:hAnsi="Times New Roman" w:eastAsia="仿宋_GB2312" w:cs="DengXian-Regular"/>
          <w:sz w:val="32"/>
          <w:szCs w:val="32"/>
          <w:lang w:eastAsia="zh-CN"/>
        </w:rPr>
        <w:t>持平，较上年度持平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20.76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9.24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车辆限行，用车减少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21.02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50.31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2018年度增加车辆购置费</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14.46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本年度未购置车辆，上年有购置车辆</w:t>
      </w:r>
      <w:bookmarkStart w:id="0" w:name="_GoBack"/>
      <w:bookmarkEnd w:id="0"/>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9.24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车辆限行、用车减少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6.56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24.01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车辆限行、用车减少</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；较上年度</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我部门高度重视部门预算绩效管理工作，严格按照省财政《关于深化省级绩效预算管理改革实施方案的通知》（冀财〔2014〕171 号）等文件工作要求，积极开展部门绩效预算管理工作，进一步提高了财政资金使用效益和效率，实现财政资金的规范性、安全性和有效性。主要体现在：</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一是注重绩效预算执行，强化财务监督。加强预算资金事前、事中、事后的全方位监管，注重资金支出绩效，最大限度的发挥财政资金效益。对预算执行绩效情况进行跟踪监控，及时掌握各项目承担单位</w:t>
      </w:r>
      <w:r>
        <w:rPr>
          <w:rFonts w:hint="eastAsia" w:ascii="仿宋_GB2312" w:hAnsi="仿宋_GB2312" w:eastAsia="仿宋_GB2312" w:cs="仿宋_GB2312"/>
          <w:sz w:val="32"/>
          <w:szCs w:val="32"/>
          <w:lang w:eastAsia="zh-CN"/>
        </w:rPr>
        <w:t>和科</w:t>
      </w:r>
      <w:r>
        <w:rPr>
          <w:rFonts w:hint="eastAsia" w:ascii="仿宋_GB2312" w:hAnsi="仿宋_GB2312" w:eastAsia="仿宋_GB2312" w:cs="仿宋_GB2312"/>
          <w:sz w:val="32"/>
          <w:szCs w:val="32"/>
        </w:rPr>
        <w:t>室的项目实施进展、资金拨付和有关绩效指标完成情况，确保绩效目标实现。</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二是积极开展部门绩效预算评价工作。按照省财政厅《关于做好 2019 年省直部门绩效自评工作的通知》（冀财监〔 2019〕3号）要求，组织本部门对 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项目资金预算执行情况开展绩效自评，并对照年初设定的绩效目标，及时对政策和项目资金支出的经济性、效率性、效益性以及绩效目标的实现程度进行自评。我部门依据文件要求制定了自评工作实施方案，按照明确的工作职责以及评价程序，采取了定量分析、定性分析和综合分析判断相结合的绩效评价方法，对部门所有项目资金开展绩效自评，形成正式评价报告上报。</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年度，我部门参评专项项目预算</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个，共计</w:t>
      </w:r>
      <w:r>
        <w:rPr>
          <w:rFonts w:hint="eastAsia" w:ascii="仿宋_GB2312" w:hAnsi="仿宋_GB2312" w:eastAsia="仿宋_GB2312" w:cs="仿宋_GB2312"/>
          <w:sz w:val="32"/>
          <w:szCs w:val="32"/>
          <w:lang w:val="en-US" w:eastAsia="zh-CN"/>
        </w:rPr>
        <w:t>446.8</w:t>
      </w:r>
      <w:r>
        <w:rPr>
          <w:rFonts w:hint="eastAsia" w:ascii="仿宋_GB2312" w:hAnsi="仿宋_GB2312" w:eastAsia="仿宋_GB2312" w:cs="仿宋_GB2312"/>
          <w:sz w:val="32"/>
          <w:szCs w:val="32"/>
        </w:rPr>
        <w:t>万元，其中：中央专项转移支付资金0个，安排资金0万元；省级预算资金</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个，共安排资金</w:t>
      </w:r>
      <w:r>
        <w:rPr>
          <w:rFonts w:hint="eastAsia" w:ascii="仿宋_GB2312" w:hAnsi="仿宋_GB2312" w:eastAsia="仿宋_GB2312" w:cs="仿宋_GB2312"/>
          <w:sz w:val="32"/>
          <w:szCs w:val="32"/>
          <w:lang w:val="en-US" w:eastAsia="zh-CN"/>
        </w:rPr>
        <w:t>446.8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该项目为</w:t>
      </w:r>
      <w:r>
        <w:rPr>
          <w:rFonts w:hint="eastAsia" w:ascii="仿宋_GB2312" w:hAnsi="仿宋_GB2312" w:eastAsia="仿宋_GB2312" w:cs="仿宋_GB2312"/>
          <w:sz w:val="32"/>
          <w:szCs w:val="32"/>
          <w:lang w:val="en-US" w:eastAsia="zh-CN"/>
        </w:rPr>
        <w:t>2019年非煤矿山综合治理项目，</w:t>
      </w:r>
      <w:r>
        <w:rPr>
          <w:rFonts w:hint="eastAsia" w:ascii="仿宋_GB2312" w:hAnsi="仿宋_GB2312" w:eastAsia="仿宋_GB2312" w:cs="仿宋_GB2312"/>
          <w:sz w:val="32"/>
          <w:szCs w:val="32"/>
          <w:lang w:eastAsia="zh-CN"/>
        </w:rPr>
        <w:t>经部门领导及科室负责同志的高度重视，督促项目承担单位严格按照申报的项目建议书，落实项目的建设内容，力争创优。自评结果：</w:t>
      </w:r>
      <w:r>
        <w:rPr>
          <w:rFonts w:hint="eastAsia" w:ascii="仿宋_GB2312" w:hAnsi="仿宋_GB2312" w:eastAsia="仿宋_GB2312" w:cs="仿宋_GB2312"/>
          <w:sz w:val="32"/>
          <w:szCs w:val="32"/>
        </w:rPr>
        <w:t>评优率为100%。</w:t>
      </w:r>
    </w:p>
    <w:p>
      <w:pPr>
        <w:numPr>
          <w:ilvl w:val="0"/>
          <w:numId w:val="2"/>
        </w:num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w:t>
      </w:r>
    </w:p>
    <w:p>
      <w:pPr>
        <w:numPr>
          <w:ilvl w:val="0"/>
          <w:numId w:val="0"/>
        </w:numPr>
        <w:adjustRightInd w:val="0"/>
        <w:snapToGrid w:val="0"/>
        <w:spacing w:line="580" w:lineRule="exact"/>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142.33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44.21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45.06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机关改革、职能增加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 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 xml:space="preserve"> 年度政府性基金预算财政拨款、国有资本经营预算财政拨款无收支及结转结余情况，故政府性基金预算财政拨款收入支出决算表、国有资本经营预算财政拨款支出决算表以空表列示。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sz w:val="72"/>
        </w:rPr>
      </w:pPr>
      <w:r>
        <w:rPr>
          <w:rFonts w:ascii="黑体" w:hAnsi="黑体" w:eastAsia="黑体" w:cs="黑体"/>
          <w:sz w:val="56"/>
          <w:szCs w:val="72"/>
        </w:rPr>
        <w:br w:type="page"/>
      </w:r>
      <w:r>
        <w:rPr>
          <w:sz w:val="72"/>
        </w:rPr>
        <mc:AlternateContent>
          <mc:Choice Requires="wps">
            <w:drawing>
              <wp:anchor distT="0" distB="0" distL="114300" distR="114300" simplePos="0" relativeHeight="25167974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974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focussize="0,0" r:id="rId2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16" w:type="default"/>
          <w:footerReference r:id="rId1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076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076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focussize="0,0" r:id="rId2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1147" w:tblpY="513"/>
        <w:tblOverlap w:val="never"/>
        <w:tblW w:w="9517" w:type="dxa"/>
        <w:jc w:val="center"/>
        <w:tblLayout w:type="fixed"/>
        <w:tblCellMar>
          <w:top w:w="0" w:type="dxa"/>
          <w:left w:w="0" w:type="dxa"/>
          <w:bottom w:w="0" w:type="dxa"/>
          <w:right w:w="0" w:type="dxa"/>
        </w:tblCellMar>
      </w:tblPr>
      <w:tblGrid>
        <w:gridCol w:w="3236"/>
        <w:gridCol w:w="529"/>
        <w:gridCol w:w="202"/>
        <w:gridCol w:w="743"/>
        <w:gridCol w:w="3422"/>
        <w:gridCol w:w="463"/>
        <w:gridCol w:w="922"/>
      </w:tblGrid>
      <w:tr>
        <w:tblPrEx>
          <w:tblCellMar>
            <w:top w:w="0" w:type="dxa"/>
            <w:left w:w="0" w:type="dxa"/>
            <w:bottom w:w="0" w:type="dxa"/>
            <w:right w:w="0" w:type="dxa"/>
          </w:tblCellMar>
        </w:tblPrEx>
        <w:trPr>
          <w:trHeight w:val="489"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07"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平山县应急管理局</w:t>
            </w:r>
          </w:p>
        </w:tc>
        <w:tc>
          <w:tcPr>
            <w:tcW w:w="73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07"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7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68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1,517.82</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5.76</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1,358.87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1,523.58</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1,358.87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17.08</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181.79</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1,540.66</w:t>
            </w:r>
          </w:p>
        </w:tc>
        <w:tc>
          <w:tcPr>
            <w:tcW w:w="3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1,540.66</w:t>
            </w:r>
          </w:p>
        </w:tc>
      </w:tr>
      <w:tr>
        <w:tblPrEx>
          <w:tblCellMar>
            <w:top w:w="0" w:type="dxa"/>
            <w:left w:w="0" w:type="dxa"/>
            <w:bottom w:w="0" w:type="dxa"/>
            <w:right w:w="0" w:type="dxa"/>
          </w:tblCellMar>
        </w:tblPrEx>
        <w:trPr>
          <w:trHeight w:val="213"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1,523.58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1,517.82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5.76</w:t>
            </w: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1,523.58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1,517.82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5.76</w:t>
            </w: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应急管理事务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1,129.13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1,123.37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5.76</w:t>
            </w: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619.64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613.88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5.76</w:t>
            </w: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2240106</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安全监管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56.84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56.84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2240108</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应急救援</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2240199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森林消防事务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203.73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203.73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60.90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60.90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142.83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142.83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地震事务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32.72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32.72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32.72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32.72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自然灾害救灾及恢复重建支出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158.00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158.00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中央自然灾害生活补助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2240799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其他自然灾害生活救助支出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1,358.87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912.07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446.80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1,358.87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912.07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应急管理事务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1,053.49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606.69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544.00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544.00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2240106</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安全监管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56.84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56.84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应急救援</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森林消防事务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60.90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60.90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142.83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142.83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地震事务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自然灾害救灾及恢复重建支出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中央自然灾害生活补助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698"/>
        <w:gridCol w:w="224"/>
        <w:gridCol w:w="286"/>
        <w:gridCol w:w="801"/>
        <w:gridCol w:w="2784"/>
        <w:gridCol w:w="162"/>
        <w:gridCol w:w="288"/>
        <w:gridCol w:w="219"/>
        <w:gridCol w:w="546"/>
        <w:gridCol w:w="825"/>
        <w:gridCol w:w="687"/>
      </w:tblGrid>
      <w:tr>
        <w:tblPrEx>
          <w:tblCellMar>
            <w:top w:w="0" w:type="dxa"/>
            <w:left w:w="0" w:type="dxa"/>
            <w:bottom w:w="0" w:type="dxa"/>
            <w:right w:w="0" w:type="dxa"/>
          </w:tblCellMar>
        </w:tblPrEx>
        <w:trPr>
          <w:trHeight w:val="406" w:hRule="atLeast"/>
          <w:jc w:val="center"/>
        </w:trPr>
        <w:tc>
          <w:tcPr>
            <w:tcW w:w="9520" w:type="dxa"/>
            <w:gridSpan w:val="11"/>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平山县应急管理局</w:t>
            </w:r>
          </w:p>
        </w:tc>
        <w:tc>
          <w:tcPr>
            <w:tcW w:w="2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0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7"/>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69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1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5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6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6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69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一、一般公共预算财政拨款</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1,517.82</w:t>
            </w: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一、一般公共服务支出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30</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二、政府性基金预算财政拨款</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二、外交支出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31</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三、国防支出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32</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四、公共安全支出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33</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五、教育支出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34</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6</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六、科学技术支出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35</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7</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七、文化旅游体育与传媒支出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36</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8</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八、社会保障和就业支出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37</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9</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九、卫生健康支出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38</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10</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十、节能环保支出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39</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11</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十一、城乡社区支出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40</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12</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十二、农林水支出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41</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13</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十三、交通运输支出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42</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14</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十四、资源勘探信息等支出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43</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15</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十五、商业服务业等支出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44</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16</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十六、金融支出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45</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17</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十七、援助其他地区支出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46</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18</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十八、自然资源海洋气象等支出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47</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19</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十九、住房保障支出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48</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20</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二十、粮油物资储备支出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49</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21</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二十一、灾害防治及应急管理支出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50</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1,354.87</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1,354.87</w:t>
            </w: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22</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二十二、其他支出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51</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23</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二十四、债务付息支出</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52</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本年收入合计</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24</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1,517.82</w:t>
            </w: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本年支出合计</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53</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1,354.87</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1,354.87</w:t>
            </w: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年初财政拨款结转和结余</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25</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13.08</w:t>
            </w: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年末财政拨款结转和结余</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54</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176.03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176.03</w:t>
            </w: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一、一般公共预算财政拨款</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26</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13.08</w:t>
            </w: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55</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二、政府性基金预算财政拨款</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27</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56</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28</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57</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269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总计</w:t>
            </w:r>
          </w:p>
        </w:tc>
        <w:tc>
          <w:tcPr>
            <w:tcW w:w="5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29</w:t>
            </w:r>
          </w:p>
        </w:tc>
        <w:tc>
          <w:tcPr>
            <w:tcW w:w="8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1,530.90</w:t>
            </w:r>
          </w:p>
        </w:tc>
        <w:tc>
          <w:tcPr>
            <w:tcW w:w="27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总计</w:t>
            </w:r>
          </w:p>
        </w:tc>
        <w:tc>
          <w:tcPr>
            <w:tcW w:w="4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58</w:t>
            </w:r>
          </w:p>
        </w:tc>
        <w:tc>
          <w:tcPr>
            <w:tcW w:w="7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1,530.90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val="en-US" w:eastAsia="zh-CN" w:bidi="ar"/>
              </w:rPr>
              <w:t>1,530.90</w:t>
            </w:r>
          </w:p>
        </w:tc>
        <w:tc>
          <w:tcPr>
            <w:tcW w:w="6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eastAsia="宋体" w:cs="宋体"/>
                <w:color w:val="000000"/>
                <w:kern w:val="0"/>
                <w:sz w:val="18"/>
                <w:szCs w:val="18"/>
                <w:lang w:bidi="ar"/>
              </w:rPr>
            </w:pPr>
          </w:p>
        </w:tc>
      </w:tr>
      <w:tr>
        <w:tblPrEx>
          <w:tblCellMar>
            <w:top w:w="0" w:type="dxa"/>
            <w:left w:w="0" w:type="dxa"/>
            <w:bottom w:w="0" w:type="dxa"/>
            <w:right w:w="0" w:type="dxa"/>
          </w:tblCellMar>
        </w:tblPrEx>
        <w:trPr>
          <w:trHeight w:val="90" w:hRule="atLeast"/>
          <w:jc w:val="center"/>
        </w:trPr>
        <w:tc>
          <w:tcPr>
            <w:tcW w:w="952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1,354.87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908.07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446.80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1,354.87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908.07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应急管理事务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1,049.49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602.69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540.00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2240106</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安全监管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56.84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56.84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应急救援</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5.86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2240199</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446.80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森林消防事务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203.73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203.73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60.90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60.90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2240304</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森林消防应急救援</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142.83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142.83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地震事务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33.65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自然灾害救灾及恢复重建支出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2240701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中央自然灾害生活补助</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57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192"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24"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688.38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142.33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391.16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36.10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34.40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14.74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94.68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5.86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33.14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1.32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0.41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97.72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6.95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5.86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8.64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6.23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0.73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27.33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2.48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15.00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71.50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1.60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68.00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6.13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24.79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5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3.50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20.76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47"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5.40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759.88</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148.19</w:t>
            </w: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30.00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20.76</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20.76</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20.76</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本部门本年度无相关收入（或支出、收支及结转结余等）情况，按要求空表列示。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eastAsia="zh-CN" w:bidi="ar"/>
              </w:rPr>
              <w:t>平山县应急管理局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本部门本年度无相关收入（或支出、收支及结转结余等）情况，按要求空表列示。</w:t>
      </w:r>
    </w:p>
    <w:p/>
    <w:sectPr>
      <w:headerReference r:id="rId19" w:type="first"/>
      <w:headerReference r:id="rId18" w:type="default"/>
      <w:footerReference r:id="rId2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decorative"/>
    <w:pitch w:val="default"/>
    <w:sig w:usb0="00000000" w:usb1="00000000" w:usb2="0000000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Yu Gothic UI Semibold">
    <w:altName w:val="Meiryo UI"/>
    <w:panose1 w:val="020B0700000000000000"/>
    <w:charset w:val="80"/>
    <w:family w:val="roman"/>
    <w:pitch w:val="default"/>
    <w:sig w:usb0="00000000" w:usb1="00000000" w:usb2="00000016" w:usb3="00000000" w:csb0="2002009F" w:csb1="00000000"/>
  </w:font>
  <w:font w:name="思源黑体 HW Bold">
    <w:altName w:val="黑体"/>
    <w:panose1 w:val="00000000000000000000"/>
    <w:charset w:val="86"/>
    <w:family w:val="roman"/>
    <w:pitch w:val="default"/>
    <w:sig w:usb0="00000000" w:usb1="00000000" w:usb2="00000016" w:usb3="00000000" w:csb0="002E0107" w:csb1="00000000"/>
  </w:font>
  <w:font w:name="微软雅黑">
    <w:panose1 w:val="020B0503020204020204"/>
    <w:charset w:val="86"/>
    <w:family w:val="roman"/>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swiss"/>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roman"/>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34CB9A"/>
    <w:multiLevelType w:val="singleLevel"/>
    <w:tmpl w:val="8934CB9A"/>
    <w:lvl w:ilvl="0" w:tentative="0">
      <w:start w:val="3"/>
      <w:numFmt w:val="decimal"/>
      <w:lvlText w:val="%1."/>
      <w:lvlJc w:val="left"/>
      <w:pPr>
        <w:tabs>
          <w:tab w:val="left" w:pos="312"/>
        </w:tabs>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0E8540C1"/>
    <w:rsid w:val="207809FB"/>
    <w:rsid w:val="31C2036A"/>
    <w:rsid w:val="320D02A5"/>
    <w:rsid w:val="348E566F"/>
    <w:rsid w:val="35CE2781"/>
    <w:rsid w:val="3A226944"/>
    <w:rsid w:val="3AEE6A48"/>
    <w:rsid w:val="3C1620AA"/>
    <w:rsid w:val="3D8F080F"/>
    <w:rsid w:val="44CE1FA4"/>
    <w:rsid w:val="487F73ED"/>
    <w:rsid w:val="49AF0207"/>
    <w:rsid w:val="4A347EAE"/>
    <w:rsid w:val="4FCE3EB9"/>
    <w:rsid w:val="52600405"/>
    <w:rsid w:val="529B4319"/>
    <w:rsid w:val="57773DD6"/>
    <w:rsid w:val="578B79AB"/>
    <w:rsid w:val="5CCD3FD5"/>
    <w:rsid w:val="5E5A25E1"/>
    <w:rsid w:val="6047742E"/>
    <w:rsid w:val="61742F33"/>
    <w:rsid w:val="61FA5F9D"/>
    <w:rsid w:val="64CD6910"/>
    <w:rsid w:val="66AE3424"/>
    <w:rsid w:val="6789158D"/>
    <w:rsid w:val="67D81BA4"/>
    <w:rsid w:val="691E6B78"/>
    <w:rsid w:val="6A7E3B45"/>
    <w:rsid w:val="6AAF1C96"/>
    <w:rsid w:val="75681757"/>
    <w:rsid w:val="75A346A8"/>
    <w:rsid w:val="77CA11C7"/>
    <w:rsid w:val="79B9382C"/>
    <w:rsid w:val="7B043B76"/>
    <w:rsid w:val="7C041A6A"/>
    <w:rsid w:val="7E3275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chart" Target="charts/chart4.xml"/><Relationship Id="rId25" Type="http://schemas.openxmlformats.org/officeDocument/2006/relationships/chart" Target="charts/chart3.xml"/><Relationship Id="rId24" Type="http://schemas.openxmlformats.org/officeDocument/2006/relationships/chart" Target="charts/chart2.xml"/><Relationship Id="rId23" Type="http://schemas.openxmlformats.org/officeDocument/2006/relationships/chart" Target="charts/chart1.xml"/><Relationship Id="rId22" Type="http://schemas.openxmlformats.org/officeDocument/2006/relationships/image" Target="media/image1.bmp"/><Relationship Id="rId21" Type="http://schemas.openxmlformats.org/officeDocument/2006/relationships/theme" Target="theme/theme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sz="1400" b="0" i="0" u="none" strike="noStrike" kern="1200" cap="none" spc="0" normalizeH="0" baseline="0">
                <a:solidFill>
                  <a:schemeClr val="tx1">
                    <a:lumMod val="65000"/>
                    <a:lumOff val="35000"/>
                  </a:schemeClr>
                </a:solidFill>
                <a:effectLst/>
                <a:latin typeface="+mn-lt"/>
                <a:ea typeface="+mn-ea"/>
                <a:cs typeface="+mn-cs"/>
              </a:rPr>
              <a:t>收入构成情况</a:t>
            </a:r>
            <a:endParaRPr sz="1400" b="0" i="0" u="none" strike="noStrike" kern="1200" cap="none" spc="0" normalizeH="0" baseline="0">
              <a:solidFill>
                <a:schemeClr val="tx1">
                  <a:lumMod val="65000"/>
                  <a:lumOff val="35000"/>
                </a:schemeClr>
              </a:solidFill>
              <a:effectLst/>
              <a:latin typeface="+mn-lt"/>
              <a:ea typeface="+mn-ea"/>
              <a:cs typeface="+mn-cs"/>
            </a:endParaRP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财政拨款收入</c:v>
                </c:pt>
                <c:pt idx="1">
                  <c:v>其他收入</c:v>
                </c:pt>
              </c:strCache>
            </c:strRef>
          </c:cat>
          <c:val>
            <c:numRef>
              <c:f>Sheet1!$B$2:$B$5</c:f>
              <c:numCache>
                <c:formatCode>General</c:formatCode>
                <c:ptCount val="4"/>
                <c:pt idx="0">
                  <c:v>99.62</c:v>
                </c:pt>
                <c:pt idx="1">
                  <c:v>0.38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General</c:formatCode>
                <c:ptCount val="4"/>
                <c:pt idx="0">
                  <c:v>67.12</c:v>
                </c:pt>
                <c:pt idx="1">
                  <c:v>32.88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sz="1400" b="0" i="0" u="none" strike="noStrike" kern="1200" cap="none" spc="0" normalizeH="0" baseline="0">
                <a:solidFill>
                  <a:schemeClr val="tx1">
                    <a:lumMod val="65000"/>
                    <a:lumOff val="35000"/>
                  </a:schemeClr>
                </a:solidFill>
                <a:effectLst/>
                <a:latin typeface="+mn-lt"/>
                <a:ea typeface="+mn-ea"/>
                <a:cs typeface="+mn-cs"/>
              </a:rPr>
              <a:t>万元</a:t>
            </a:r>
            <a:endParaRPr sz="1400" b="0" i="0" u="none" strike="noStrike" kern="1200" cap="none" spc="0" normalizeH="0" baseline="0">
              <a:solidFill>
                <a:schemeClr val="tx1">
                  <a:lumMod val="65000"/>
                  <a:lumOff val="35000"/>
                </a:schemeClr>
              </a:solidFill>
              <a:effectLst/>
              <a:latin typeface="+mn-lt"/>
              <a:ea typeface="+mn-ea"/>
              <a:cs typeface="+mn-cs"/>
            </a:endParaRPr>
          </a:p>
        </c:rich>
      </c:tx>
      <c:layout>
        <c:manualLayout>
          <c:xMode val="edge"/>
          <c:yMode val="edge"/>
          <c:x val="0.834858021388103"/>
          <c:y val="0.0315220654458121"/>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一般公共预算收入</c:v>
                </c:pt>
                <c:pt idx="2">
                  <c:v>支出</c:v>
                </c:pt>
              </c:strCache>
            </c:strRef>
          </c:cat>
          <c:val>
            <c:numRef>
              <c:f>Sheet1!$B$2:$B$4</c:f>
              <c:numCache>
                <c:formatCode>General</c:formatCode>
                <c:ptCount val="3"/>
                <c:pt idx="0">
                  <c:v>840.35</c:v>
                </c:pt>
                <c:pt idx="2">
                  <c:v>1041.64</c:v>
                </c:pt>
              </c:numCache>
            </c:numRef>
          </c:val>
        </c:ser>
        <c:ser>
          <c:idx val="1"/>
          <c:order val="1"/>
          <c:tx>
            <c:strRef>
              <c:f>Sheet1!$C$1</c:f>
              <c:strCache>
                <c:ptCount val="1"/>
                <c:pt idx="0">
                  <c:v>2019年</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一般公共预算收入</c:v>
                </c:pt>
                <c:pt idx="2">
                  <c:v>支出</c:v>
                </c:pt>
              </c:strCache>
            </c:strRef>
          </c:cat>
          <c:val>
            <c:numRef>
              <c:f>Sheet1!$C$2:$C$4</c:f>
              <c:numCache>
                <c:formatCode>General</c:formatCode>
                <c:ptCount val="3"/>
                <c:pt idx="0">
                  <c:v>1517.82</c:v>
                </c:pt>
                <c:pt idx="2">
                  <c:v>1358.87</c:v>
                </c:pt>
              </c:numCache>
            </c:numRef>
          </c:val>
        </c:ser>
        <c:ser>
          <c:idx val="2"/>
          <c:order val="2"/>
          <c:tx>
            <c:strRef>
              <c:f>Sheet1!$D$1</c:f>
              <c:strCache>
                <c:ptCount val="1"/>
                <c:pt idx="0">
                  <c:v/>
                </c:pt>
              </c:strCache>
            </c:strRef>
          </c:tx>
          <c:spPr>
            <a:solidFill>
              <a:schemeClr val="accent3"/>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一般公共预算收入</c:v>
                </c:pt>
                <c:pt idx="2">
                  <c:v>支出</c:v>
                </c:pt>
              </c:strCache>
            </c:strRef>
          </c:cat>
          <c:val>
            <c:numRef>
              <c:f>Sheet1!$D$2:$D$5</c:f>
              <c:numCache>
                <c:formatCode>General</c:formatCode>
                <c:ptCount val="4"/>
              </c:numCache>
            </c:numRef>
          </c:val>
        </c:ser>
        <c:dLbls>
          <c:showLegendKey val="0"/>
          <c:showVal val="1"/>
          <c:showCatName val="0"/>
          <c:showSerName val="0"/>
          <c:showPercent val="0"/>
          <c:showBubbleSize val="0"/>
        </c:dLbls>
        <c:gapWidth val="219"/>
        <c:overlap val="-27"/>
        <c:axId val="972238975"/>
        <c:axId val="742475723"/>
      </c:barChart>
      <c:catAx>
        <c:axId val="97223897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2475723"/>
        <c:crosses val="autoZero"/>
        <c:auto val="1"/>
        <c:lblAlgn val="ctr"/>
        <c:lblOffset val="100"/>
        <c:noMultiLvlLbl val="0"/>
      </c:catAx>
      <c:valAx>
        <c:axId val="742475723"/>
        <c:scaling>
          <c:orientation val="minMax"/>
        </c:scaling>
        <c:delete val="1"/>
        <c:axPos val="l"/>
        <c:numFmt formatCode="General" sourceLinked="1"/>
        <c:majorTickMark val="out"/>
        <c:minorTickMark val="none"/>
        <c:tickLblPos val="nextTo"/>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2238975"/>
        <c:crosses val="autoZero"/>
        <c:crossBetween val="between"/>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1000" kern="1200">
          <a:solidFill>
            <a:schemeClr val="tx1"/>
          </a:solidFill>
          <a:latin typeface="+mn-lt"/>
          <a:ea typeface="+mn-ea"/>
          <a:cs typeface="+mn-cs"/>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a:effectLst/>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177138531415594"/>
                  <c:y val="-0.0460122699386503"/>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522331566994701"/>
                  <c:y val="0.0250976017847183"/>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应急管理事务</c:v>
                </c:pt>
                <c:pt idx="1">
                  <c:v>森林消防事务</c:v>
                </c:pt>
                <c:pt idx="2">
                  <c:v>地震事务</c:v>
                </c:pt>
                <c:pt idx="3">
                  <c:v>自然灾害救灾及恢复重建</c:v>
                </c:pt>
              </c:strCache>
            </c:strRef>
          </c:cat>
          <c:val>
            <c:numRef>
              <c:f>Sheet1!$B$2:$B$5</c:f>
              <c:numCache>
                <c:formatCode>General</c:formatCode>
                <c:ptCount val="4"/>
                <c:pt idx="0">
                  <c:v>1053.49</c:v>
                </c:pt>
                <c:pt idx="1">
                  <c:v>203.73</c:v>
                </c:pt>
                <c:pt idx="2">
                  <c:v>33.65</c:v>
                </c:pt>
                <c:pt idx="3">
                  <c:v>68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2021-05-19T01:55:40Z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